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R4-2513327                        </w:t>
      </w:r>
    </w:p>
    <w:p w14:paraId="63E99DA1">
      <w:pPr>
        <w:jc w:val="left"/>
        <w:rPr>
          <w:rFonts w:ascii="Arial" w:hAnsi="Arial" w:cs="Arial"/>
          <w:b/>
          <w:sz w:val="24"/>
          <w:szCs w:val="24"/>
          <w:lang w:val="en-GB" w:eastAsia="en-GB"/>
        </w:rPr>
      </w:pPr>
      <w:r>
        <w:rPr>
          <w:rFonts w:ascii="Arial" w:hAnsi="Arial" w:cs="Arial"/>
          <w:b/>
          <w:sz w:val="24"/>
          <w:szCs w:val="24"/>
        </w:rPr>
        <w:t>Prague, CZ</w:t>
      </w:r>
      <w:r>
        <w:rPr>
          <w:rFonts w:hint="eastAsia" w:ascii="Arial" w:hAnsi="Arial" w:cs="Arial"/>
          <w:b/>
          <w:sz w:val="24"/>
          <w:szCs w:val="24"/>
        </w:rPr>
        <w:t>, 13</w:t>
      </w:r>
      <w:r>
        <w:rPr>
          <w:rFonts w:ascii="Arial" w:hAnsi="Arial" w:cs="Arial"/>
          <w:b/>
          <w:sz w:val="24"/>
          <w:szCs w:val="24"/>
        </w:rPr>
        <w:t>th</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rPr>
        <w:t>17th</w:t>
      </w:r>
      <w:r>
        <w:rPr>
          <w:rFonts w:ascii="Arial" w:hAnsi="Arial" w:cs="Arial"/>
          <w:b/>
          <w:sz w:val="24"/>
          <w:szCs w:val="24"/>
        </w:rPr>
        <w:t xml:space="preserve">, </w:t>
      </w:r>
      <w:r>
        <w:rPr>
          <w:rFonts w:hint="eastAsia" w:ascii="Arial" w:hAnsi="Arial" w:cs="Arial"/>
          <w:b/>
          <w:sz w:val="24"/>
          <w:szCs w:val="24"/>
        </w:rPr>
        <w:t xml:space="preserve">Oct. </w:t>
      </w:r>
      <w:r>
        <w:rPr>
          <w:rFonts w:ascii="Arial" w:hAnsi="Arial" w:cs="Arial"/>
          <w:b/>
          <w:sz w:val="24"/>
          <w:szCs w:val="24"/>
        </w:rPr>
        <w:t>202</w:t>
      </w:r>
      <w:r>
        <w:rPr>
          <w:rFonts w:hint="eastAsia" w:ascii="Arial" w:hAnsi="Arial" w:cs="Arial"/>
          <w:b/>
          <w:sz w:val="24"/>
          <w:szCs w:val="24"/>
        </w:rPr>
        <w:t>5</w:t>
      </w:r>
    </w:p>
    <w:p w14:paraId="4C100087">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8.5</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734C9C6">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6G</w:t>
      </w:r>
      <w:r>
        <w:rPr>
          <w:rFonts w:hint="eastAsia" w:ascii="Arial" w:hAnsi="Arial" w:cs="Arial"/>
          <w:b/>
          <w:sz w:val="24"/>
          <w:szCs w:val="24"/>
          <w:lang w:val="en-US" w:eastAsia="zh-CN"/>
        </w:rPr>
        <w:t>R BS</w:t>
      </w:r>
      <w:r>
        <w:rPr>
          <w:rFonts w:hint="eastAsia" w:ascii="Arial" w:hAnsi="Arial" w:eastAsia="宋体" w:cs="Arial"/>
          <w:b/>
          <w:sz w:val="24"/>
          <w:szCs w:val="24"/>
          <w:lang w:val="en-US" w:eastAsia="zh-CN"/>
        </w:rPr>
        <w:t xml:space="preserve"> study</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035304E8">
      <w:pPr>
        <w:tabs>
          <w:tab w:val="left" w:pos="2127"/>
        </w:tabs>
        <w:spacing w:after="0"/>
        <w:rPr>
          <w:rFonts w:hint="default" w:eastAsia="宋体"/>
          <w:vertAlign w:val="baseline"/>
          <w:lang w:val="en-US" w:eastAsia="zh-CN"/>
        </w:rPr>
      </w:pPr>
      <w:r>
        <w:rPr>
          <w:rFonts w:hint="eastAsia"/>
          <w:lang w:val="en-US" w:eastAsia="zh-CN"/>
        </w:rPr>
        <w:t>In the RAN#108 meeting, a n</w:t>
      </w:r>
      <w:bookmarkStart w:id="5" w:name="_GoBack"/>
      <w:bookmarkEnd w:id="5"/>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this contribution, we would like to share some initial understandings on 6GR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3BE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3BC40F9">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5681B37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179F52AE">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250C8C04">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2439F39A">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55EF288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1230340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14:paraId="008DBA85">
      <w:pPr>
        <w:pStyle w:val="58"/>
        <w:tabs>
          <w:tab w:val="left" w:pos="567"/>
          <w:tab w:val="clear" w:pos="1985"/>
        </w:tabs>
        <w:adjustRightInd w:val="0"/>
        <w:ind w:left="510" w:hanging="510"/>
        <w:rPr>
          <w:rFonts w:eastAsia="Times New Roman"/>
        </w:rPr>
      </w:pPr>
      <w:bookmarkStart w:id="1" w:name="OLE_LINK13"/>
      <w:bookmarkStart w:id="2" w:name="OLE_LINK10"/>
      <w:bookmarkStart w:id="3" w:name="OLE_LINK20"/>
      <w:bookmarkStart w:id="4" w:name="OLE_LINK14"/>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255B9C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w:t>
      </w:r>
      <w:r>
        <w:rPr>
          <w:rFonts w:hint="eastAsia" w:ascii="Arial" w:hAnsi="Arial" w:cs="Arial"/>
          <w:lang w:val="en-US" w:eastAsia="zh-CN"/>
        </w:rPr>
        <w:t>Review of 5G BS evolution</w:t>
      </w:r>
    </w:p>
    <w:p w14:paraId="1730093E">
      <w:pPr>
        <w:tabs>
          <w:tab w:val="left" w:pos="2127"/>
        </w:tabs>
        <w:spacing w:after="0"/>
        <w:rPr>
          <w:rFonts w:hint="default"/>
          <w:lang w:val="en-US" w:eastAsia="zh-CN"/>
        </w:rPr>
      </w:pPr>
      <w:r>
        <w:rPr>
          <w:rFonts w:hint="eastAsia"/>
          <w:lang w:val="en-US" w:eastAsia="zh-CN"/>
        </w:rPr>
        <w:t xml:space="preserve">In the following Figure 2.1-1, we provide the overview of 5G NR BS RF evolution and study on 7-24GHz for ITU-R WP5D reply LS which has already provided a very good foundation for 6G BS RF requirement. </w:t>
      </w:r>
    </w:p>
    <w:p w14:paraId="12A43B5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00320" cy="5497195"/>
            <wp:effectExtent l="0" t="0" r="5080" b="8255"/>
            <wp:docPr id="1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IMG_256"/>
                    <pic:cNvPicPr>
                      <a:picLocks noChangeAspect="1"/>
                    </pic:cNvPicPr>
                  </pic:nvPicPr>
                  <pic:blipFill>
                    <a:blip r:embed="rId8"/>
                    <a:stretch>
                      <a:fillRect/>
                    </a:stretch>
                  </pic:blipFill>
                  <pic:spPr>
                    <a:xfrm>
                      <a:off x="0" y="0"/>
                      <a:ext cx="5100320" cy="5497195"/>
                    </a:xfrm>
                    <a:prstGeom prst="rect">
                      <a:avLst/>
                    </a:prstGeom>
                    <a:noFill/>
                    <a:ln w="9525">
                      <a:noFill/>
                    </a:ln>
                  </pic:spPr>
                </pic:pic>
              </a:graphicData>
            </a:graphic>
          </wp:inline>
        </w:drawing>
      </w:r>
    </w:p>
    <w:p w14:paraId="563D8B36">
      <w:pPr>
        <w:tabs>
          <w:tab w:val="left" w:pos="2127"/>
        </w:tabs>
        <w:spacing w:after="0"/>
        <w:jc w:val="center"/>
        <w:rPr>
          <w:rFonts w:hint="eastAsia"/>
          <w:lang w:val="en-US" w:eastAsia="zh-CN"/>
        </w:rPr>
      </w:pPr>
      <w:r>
        <w:rPr>
          <w:rFonts w:hint="eastAsia"/>
          <w:lang w:val="en-US" w:eastAsia="zh-CN"/>
        </w:rPr>
        <w:t>Figure 2.1-1. The review of 5G NR BS evolution from Rel-15 to Rel-20</w:t>
      </w:r>
    </w:p>
    <w:p w14:paraId="3443D912">
      <w:pPr>
        <w:tabs>
          <w:tab w:val="left" w:pos="2127"/>
        </w:tabs>
        <w:spacing w:after="0"/>
        <w:rPr>
          <w:rFonts w:hint="eastAsia"/>
          <w:lang w:val="en-US" w:eastAsia="zh-CN"/>
        </w:rPr>
      </w:pPr>
      <w:r>
        <w:rPr>
          <w:rFonts w:hint="eastAsia"/>
          <w:b/>
          <w:bCs/>
          <w:lang w:val="en-US" w:eastAsia="zh-CN"/>
        </w:rPr>
        <w:t>Proposal 1</w:t>
      </w:r>
      <w:r>
        <w:rPr>
          <w:rFonts w:hint="eastAsia"/>
          <w:lang w:val="en-US" w:eastAsia="zh-CN"/>
        </w:rPr>
        <w:t>: for 5G NR refarming bands, propose to use the RF requirement of 5G NR BS as starting point and make further improvement if confirmed to be necessary.</w:t>
      </w:r>
    </w:p>
    <w:p w14:paraId="78389C91">
      <w:pPr>
        <w:tabs>
          <w:tab w:val="left" w:pos="2127"/>
        </w:tabs>
        <w:spacing w:after="0"/>
        <w:rPr>
          <w:rFonts w:hint="default"/>
          <w:vertAlign w:val="baseline"/>
          <w:lang w:val="en-US" w:eastAsia="zh-CN"/>
        </w:rPr>
      </w:pPr>
      <w:r>
        <w:rPr>
          <w:rFonts w:hint="eastAsia"/>
          <w:b/>
          <w:bCs/>
          <w:lang w:val="en-US" w:eastAsia="zh-CN"/>
        </w:rPr>
        <w:t>Proposal 2</w:t>
      </w:r>
      <w:r>
        <w:rPr>
          <w:rFonts w:hint="eastAsia"/>
          <w:lang w:val="en-US" w:eastAsia="zh-CN"/>
        </w:rPr>
        <w:t>: for 6GR BS, propose to consider the following 5G BS types at least as starting point.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1"/>
        <w:gridCol w:w="3321"/>
      </w:tblGrid>
      <w:tr w14:paraId="7B50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shd w:val="clear" w:color="auto" w:fill="BEBEBE" w:themeFill="background1" w:themeFillShade="BF"/>
          </w:tcPr>
          <w:p w14:paraId="121A5C30">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6GR TN</w:t>
            </w:r>
          </w:p>
        </w:tc>
        <w:tc>
          <w:tcPr>
            <w:tcW w:w="3321" w:type="dxa"/>
            <w:shd w:val="clear" w:color="auto" w:fill="BEBEBE" w:themeFill="background1" w:themeFillShade="BF"/>
          </w:tcPr>
          <w:p w14:paraId="6C952425">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6GR NTN</w:t>
            </w:r>
          </w:p>
        </w:tc>
      </w:tr>
      <w:tr w14:paraId="21B3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09E15788">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NR BS</w:t>
            </w:r>
          </w:p>
        </w:tc>
        <w:tc>
          <w:tcPr>
            <w:tcW w:w="3321" w:type="dxa"/>
          </w:tcPr>
          <w:p w14:paraId="2D1C88C6">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FR1 SAN</w:t>
            </w:r>
          </w:p>
        </w:tc>
      </w:tr>
      <w:tr w14:paraId="69DB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14B38303">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 xml:space="preserve">Repeater, NCR </w:t>
            </w:r>
          </w:p>
          <w:p w14:paraId="52DB7690">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for coverage extension with low cost</w:t>
            </w:r>
          </w:p>
        </w:tc>
        <w:tc>
          <w:tcPr>
            <w:tcW w:w="3321" w:type="dxa"/>
          </w:tcPr>
          <w:p w14:paraId="30A0E9DB">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Ka-band SAN</w:t>
            </w:r>
          </w:p>
        </w:tc>
      </w:tr>
      <w:tr w14:paraId="0EC33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0401AF63">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SBFD</w:t>
            </w:r>
          </w:p>
        </w:tc>
        <w:tc>
          <w:tcPr>
            <w:tcW w:w="3321" w:type="dxa"/>
          </w:tcPr>
          <w:p w14:paraId="39DC1447">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Ku-band SAN</w:t>
            </w:r>
          </w:p>
        </w:tc>
      </w:tr>
    </w:tbl>
    <w:p w14:paraId="5A463118">
      <w:pPr>
        <w:tabs>
          <w:tab w:val="left" w:pos="2127"/>
        </w:tabs>
        <w:spacing w:after="0"/>
        <w:rPr>
          <w:rFonts w:hint="default"/>
          <w:lang w:val="en-US" w:eastAsia="zh-CN"/>
        </w:rPr>
      </w:pPr>
    </w:p>
    <w:p w14:paraId="3B1D9EA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default" w:ascii="Arial" w:hAnsi="Arial" w:cs="Arial"/>
          <w:lang w:val="en-US" w:eastAsia="zh-CN"/>
        </w:rPr>
        <w:t>2.</w:t>
      </w:r>
      <w:r>
        <w:rPr>
          <w:rFonts w:hint="eastAsia" w:ascii="Arial" w:hAnsi="Arial" w:cs="Arial"/>
          <w:lang w:val="en-US" w:eastAsia="zh-CN"/>
        </w:rPr>
        <w:t>2. New BS types in addition to 5G NR</w:t>
      </w:r>
    </w:p>
    <w:p w14:paraId="79AAAFA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2.2.1. FR1 Hybrid beamforming</w:t>
      </w:r>
    </w:p>
    <w:p w14:paraId="3CDE5618">
      <w:pPr>
        <w:tabs>
          <w:tab w:val="left" w:pos="2127"/>
        </w:tabs>
        <w:spacing w:after="0"/>
        <w:rPr>
          <w:rFonts w:hint="default"/>
          <w:lang w:val="en-US" w:eastAsia="zh-CN"/>
        </w:rPr>
      </w:pPr>
      <w:r>
        <w:rPr>
          <w:rFonts w:hint="eastAsia"/>
          <w:lang w:val="en-US" w:eastAsia="zh-CN"/>
        </w:rPr>
        <w:t>Due to the increasing operating frequency for FR1 and FR3, the large array size (e.g. 2K, 4K antenna elements as agreed in 6G TRP) is expected as one direct and efficient solution to try to achieve the same coverage as FR1 middle bands as requested in 6G SID for site sharing between FR1 middle bands and around 7GHz. However due to the high cost, overheating problems and baseband implementation complexity if there are too many transceivers, therefore the hybrid beamforming similar as FR2 as shown in the following Figure 2.2.1-1 is more appropriate to FR1high bands and potential FR3 bands if WRC-27 can confirm it as IMT operation.</w:t>
      </w:r>
    </w:p>
    <w:p w14:paraId="762F3460">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252085" cy="4759325"/>
            <wp:effectExtent l="0" t="0" r="0" b="3175"/>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9"/>
                    <a:stretch>
                      <a:fillRect/>
                    </a:stretch>
                  </pic:blipFill>
                  <pic:spPr>
                    <a:xfrm>
                      <a:off x="0" y="0"/>
                      <a:ext cx="5252085" cy="4759325"/>
                    </a:xfrm>
                    <a:prstGeom prst="rect">
                      <a:avLst/>
                    </a:prstGeom>
                    <a:noFill/>
                    <a:ln w="9525">
                      <a:noFill/>
                    </a:ln>
                  </pic:spPr>
                </pic:pic>
              </a:graphicData>
            </a:graphic>
          </wp:inline>
        </w:drawing>
      </w:r>
    </w:p>
    <w:p w14:paraId="0A4AD192">
      <w:pPr>
        <w:tabs>
          <w:tab w:val="left" w:pos="2127"/>
        </w:tabs>
        <w:spacing w:after="0"/>
        <w:jc w:val="center"/>
        <w:rPr>
          <w:rFonts w:hint="eastAsia"/>
          <w:lang w:val="en-US" w:eastAsia="zh-CN"/>
        </w:rPr>
      </w:pPr>
      <w:r>
        <w:rPr>
          <w:rFonts w:hint="eastAsia"/>
          <w:lang w:val="en-US" w:eastAsia="zh-CN"/>
        </w:rPr>
        <w:t>Figure 2.2.1-1. The illustration of RF architecture of FR1 and around 7GHz hybrid beamforming</w:t>
      </w:r>
    </w:p>
    <w:p w14:paraId="4963C427">
      <w:pPr>
        <w:tabs>
          <w:tab w:val="left" w:pos="2127"/>
        </w:tabs>
        <w:spacing w:after="0"/>
        <w:rPr>
          <w:rFonts w:hint="default"/>
          <w:lang w:val="en-US" w:eastAsia="zh-CN"/>
        </w:rPr>
      </w:pPr>
      <w:r>
        <w:rPr>
          <w:rFonts w:hint="eastAsia"/>
          <w:lang w:val="en-US" w:eastAsia="zh-CN"/>
        </w:rPr>
        <w:t xml:space="preserve">Due to the potential active component within RDN for variable analog beamforming, the TAB connectors for the requirement definition and conformance testing could be shifted to TAB2 as shown in Figure2.2.1-2 instead of the legacy TAB connectors between RDN and transceiver array. However this is also highly dependent on the implementation for variable phase shifter within the RDN network. If the variable phase shifter is implemented in passive manner as shown in Figure 2.2.1-1, then the legacy TAB connectors in TS38.104 could be still used for the RF requirement definition and conformance testing. If the variable phase shifter is implemented with active RF component, then the new TAB2 connectors as shown in Figure 2.2.1-2 is more appropriate for the RF requirement definition and the corresponding conformance testing.  </w:t>
      </w:r>
    </w:p>
    <w:p w14:paraId="7518E9BB">
      <w:pPr>
        <w:keepNext w:val="0"/>
        <w:keepLines w:val="0"/>
        <w:widowControl/>
        <w:suppressLineNumbers w:val="0"/>
        <w:jc w:val="center"/>
        <w:rPr>
          <w:rFonts w:hint="eastAsia" w:ascii="宋体" w:hAnsi="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324475" cy="2886075"/>
            <wp:effectExtent l="0" t="0" r="9525" b="9525"/>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0"/>
                    <a:stretch>
                      <a:fillRect/>
                    </a:stretch>
                  </pic:blipFill>
                  <pic:spPr>
                    <a:xfrm>
                      <a:off x="0" y="0"/>
                      <a:ext cx="5324475" cy="2886075"/>
                    </a:xfrm>
                    <a:prstGeom prst="rect">
                      <a:avLst/>
                    </a:prstGeom>
                    <a:noFill/>
                    <a:ln w="9525">
                      <a:noFill/>
                    </a:ln>
                  </pic:spPr>
                </pic:pic>
              </a:graphicData>
            </a:graphic>
          </wp:inline>
        </w:drawing>
      </w:r>
    </w:p>
    <w:p w14:paraId="5035FF5B">
      <w:pPr>
        <w:tabs>
          <w:tab w:val="left" w:pos="2127"/>
        </w:tabs>
        <w:spacing w:after="0"/>
        <w:jc w:val="center"/>
        <w:rPr>
          <w:rFonts w:hint="eastAsia" w:ascii="宋体" w:hAnsi="宋体" w:cs="宋体"/>
          <w:kern w:val="0"/>
          <w:sz w:val="24"/>
          <w:szCs w:val="24"/>
          <w:lang w:val="en-US" w:eastAsia="zh-CN" w:bidi="ar"/>
        </w:rPr>
      </w:pPr>
      <w:r>
        <w:rPr>
          <w:rFonts w:hint="eastAsia"/>
          <w:lang w:val="en-US" w:eastAsia="zh-CN"/>
        </w:rPr>
        <w:t>Figure 2.2.1-2. The illustration of RF framework for specification</w:t>
      </w:r>
    </w:p>
    <w:p w14:paraId="26E7AF4C">
      <w:pPr>
        <w:keepNext w:val="0"/>
        <w:keepLines w:val="0"/>
        <w:widowControl/>
        <w:suppressLineNumbers w:val="0"/>
        <w:jc w:val="left"/>
        <w:rPr>
          <w:rFonts w:hint="eastAsia"/>
          <w:lang w:val="en-US" w:eastAsia="zh-CN"/>
        </w:rPr>
      </w:pPr>
      <w:r>
        <w:rPr>
          <w:rFonts w:hint="eastAsia"/>
          <w:lang w:val="en-US" w:eastAsia="zh-CN"/>
        </w:rPr>
        <w:t>In addition, in the current TR 38.803, extended AAS antenna modelling is applicable for AAS BS with digital beamforming plus fixed sub-array tilting without variable beam steering capability considered within RDN, therefore in the following section, we propose to study the enhanced AAS antenna modelling for FR1 hybrid beamforming as shown in Figure 2.2.1-1.</w:t>
      </w:r>
    </w:p>
    <w:p w14:paraId="4379E10C">
      <w:pPr>
        <w:keepNext w:val="0"/>
        <w:keepLines w:val="0"/>
        <w:widowControl/>
        <w:suppressLineNumbers w:val="0"/>
        <w:jc w:val="left"/>
        <w:rPr>
          <w:rFonts w:hint="default"/>
          <w:lang w:val="en-US" w:eastAsia="zh-CN"/>
        </w:rPr>
      </w:pPr>
      <w:r>
        <w:rPr>
          <w:rFonts w:hint="eastAsia"/>
          <w:lang w:val="en-US" w:eastAsia="zh-CN"/>
        </w:rPr>
        <w:t xml:space="preserve">The enhanced AAS antenna model for FR1 hybrid beamforming is proposed as following. </w:t>
      </w:r>
    </w:p>
    <w:p w14:paraId="577CEB45">
      <w:pPr>
        <w:rPr>
          <w:rFonts w:hint="eastAsia"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4DB65A8C">
      <w:pPr>
        <w:rPr>
          <w:rFonts w:hint="eastAsia" w:hAnsi="Cambria Math"/>
          <w:i w:val="0"/>
          <w:highlight w:val="none"/>
          <w:lang w:val="en-US" w:eastAsia="zh-CN"/>
        </w:rPr>
      </w:pPr>
      <w:r>
        <w:rPr>
          <w:rFonts w:hint="eastAsia" w:hAnsi="Cambria Math"/>
          <w:i w:val="0"/>
          <w:highlight w:val="none"/>
          <w:lang w:val="en-US" w:eastAsia="zh-CN"/>
        </w:rPr>
        <w:t>Sub-array pattern #3 with fixed down-tilt could be defined as follows:</w:t>
      </w:r>
    </w:p>
    <w:p w14:paraId="41580CD3">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743687E6">
      <w:pPr>
        <w:rPr>
          <w:rFonts w:hint="eastAsia" w:hAnsi="Cambria Math"/>
          <w:i w:val="0"/>
          <w:highlight w:val="none"/>
          <w:lang w:val="en-US" w:eastAsia="zh-CN"/>
        </w:rPr>
      </w:pPr>
      <w:r>
        <w:rPr>
          <w:rFonts w:hint="eastAsia" w:hAnsi="Cambria Math"/>
          <w:i w:val="0"/>
          <w:highlight w:val="none"/>
          <w:lang w:val="en-US" w:eastAsia="zh-CN"/>
        </w:rPr>
        <w:t xml:space="preserve">where, </w:t>
      </w:r>
    </w:p>
    <w:p w14:paraId="36AADCC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17EFD16B">
      <w:pPr>
        <w:rPr>
          <w:rFonts w:hint="eastAsia" w:hAnsi="Cambria Math"/>
          <w:i w:val="0"/>
          <w:highlight w:val="none"/>
          <w:lang w:val="en-US" w:eastAsia="zh-CN"/>
        </w:rPr>
      </w:pPr>
    </w:p>
    <w:p w14:paraId="73E2AF09">
      <w:pPr>
        <w:rPr>
          <w:rFonts w:hint="eastAsia" w:hAnsi="Cambria Math"/>
          <w:i w:val="0"/>
          <w:highlight w:val="none"/>
          <w:lang w:val="en-US" w:eastAsia="zh-CN"/>
        </w:rPr>
      </w:pPr>
      <w:r>
        <w:rPr>
          <w:rFonts w:hint="eastAsia" w:hAnsi="Cambria Math"/>
          <w:i w:val="0"/>
          <w:highlight w:val="none"/>
          <w:lang w:val="en-US" w:eastAsia="zh-CN"/>
        </w:rPr>
        <w:t>Sub-array pattern #2 with variable electrical down-tilt could be defined as follows:</w:t>
      </w:r>
    </w:p>
    <w:p w14:paraId="0A3D8C2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3FE1C012">
      <w:pPr>
        <w:rPr>
          <w:rFonts w:hint="eastAsia" w:hAnsi="Cambria Math"/>
          <w:i w:val="0"/>
          <w:highlight w:val="none"/>
          <w:lang w:val="en-US" w:eastAsia="zh-CN"/>
        </w:rPr>
      </w:pPr>
      <w:r>
        <w:rPr>
          <w:rFonts w:hint="eastAsia" w:hAnsi="Cambria Math"/>
          <w:i w:val="0"/>
          <w:highlight w:val="none"/>
          <w:lang w:val="en-US" w:eastAsia="zh-CN"/>
        </w:rPr>
        <w:t xml:space="preserve">where, </w:t>
      </w:r>
    </w:p>
    <w:p w14:paraId="0BD63568">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46CB75B2">
      <w:pPr>
        <w:rPr>
          <w:rFonts w:hint="eastAsia" w:hAnsi="Cambria Math"/>
          <w:i w:val="0"/>
          <w:highlight w:val="yellow"/>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27343E83">
      <w:pPr>
        <w:rPr>
          <w:rFonts w:hint="eastAsia" w:hAnsi="Cambria Math"/>
          <w:i w:val="0"/>
          <w:highlight w:val="none"/>
          <w:lang w:val="en-US" w:eastAsia="zh-CN"/>
        </w:rPr>
      </w:pPr>
      <w:r>
        <w:rPr>
          <w:rFonts w:hint="eastAsia" w:hAnsi="Cambria Math"/>
          <w:i w:val="0"/>
          <w:highlight w:val="none"/>
          <w:lang w:val="en-US" w:eastAsia="zh-CN"/>
        </w:rPr>
        <w:t>Composite antenna for the hybrid beamforming with digital beamforming could be defined as follows:</w:t>
      </w:r>
    </w:p>
    <w:p w14:paraId="2BB2ECF2">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composite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M</m:t>
                              </m:r>
                              <m:ctrlPr>
                                <w:rPr>
                                  <w:rFonts w:hint="default" w:ascii="Cambria Math" w:hAnsi="Cambria Math"/>
                                  <w:i/>
                                  <w:highlight w:val="none"/>
                                  <w:lang w:val="en-US" w:eastAsia="zh-CN"/>
                                </w:rPr>
                              </m:ctrlPr>
                            </m:sup>
                            <m:e>
                              <m:nary>
                                <m:naryPr>
                                  <m:chr m:val="∑"/>
                                  <m:limLoc m:val="undOvr"/>
                                  <m:ctrlPr>
                                    <w:rPr>
                                      <w:rFonts w:hint="default" w:ascii="Cambria Math" w:hAnsi="Cambria Math"/>
                                      <w:i/>
                                      <w:highlight w:val="none"/>
                                      <w:lang w:val="en-US" w:eastAsia="zh-CN"/>
                                    </w:rPr>
                                  </m:ctrlPr>
                                </m:naryPr>
                                <m:sub>
                                  <m:r>
                                    <m:rPr/>
                                    <w:rPr>
                                      <w:rFonts w:hint="default" w:ascii="Cambria Math" w:hAnsi="Cambria Math"/>
                                      <w:highlight w:val="none"/>
                                      <w:lang w:val="en-US" w:eastAsia="zh-CN"/>
                                    </w:rPr>
                                    <m:t>n=1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N</m:t>
                                  </m:r>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14:paraId="12C086A3">
      <w:pPr>
        <w:rPr>
          <w:rFonts w:hint="eastAsia" w:hAnsi="Cambria Math"/>
          <w:i w:val="0"/>
          <w:highlight w:val="none"/>
          <w:lang w:val="en-US" w:eastAsia="zh-CN"/>
        </w:rPr>
      </w:pPr>
      <w:r>
        <w:rPr>
          <w:rFonts w:hint="eastAsia" w:hAnsi="Cambria Math"/>
          <w:i w:val="0"/>
          <w:highlight w:val="none"/>
          <w:lang w:val="en-US" w:eastAsia="zh-CN"/>
        </w:rPr>
        <w:t xml:space="preserve">where, </w:t>
      </w:r>
    </w:p>
    <w:p w14:paraId="40BC60CC">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r>
                    <m:rPr/>
                    <w:rPr>
                      <w:rFonts w:hint="default" w:ascii="Cambria Math" w:hAnsi="Cambria Math"/>
                      <w:highlight w:val="none"/>
                      <w:lang w:val="en-US" w:eastAsia="zh-CN"/>
                    </w:rPr>
                    <m:t>M</m:t>
                  </m:r>
                  <m:r>
                    <m:rPr/>
                    <w:rPr>
                      <w:rFonts w:ascii="Cambria Math" w:hAnsi="Cambria Math"/>
                      <w:highlight w:val="none"/>
                      <w:lang w:val="en-US"/>
                    </w:rPr>
                    <m:t>∙</m:t>
                  </m:r>
                  <m:r>
                    <m:rPr/>
                    <w:rPr>
                      <w:rFonts w:hint="default" w:ascii="Cambria Math" w:hAnsi="Cambria Math"/>
                      <w:highlight w:val="none"/>
                      <w:lang w:val="en-US" w:eastAsia="zh-CN"/>
                    </w:rPr>
                    <m:t>N</m:t>
                  </m:r>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ℎ</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cos</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scan</m:t>
                              </m:r>
                              <m:ctrlPr>
                                <w:rPr>
                                  <w:rFonts w:hint="default" w:ascii="Cambria Math" w:hAnsi="Cambria Math"/>
                                  <w:i/>
                                  <w:highlight w:val="none"/>
                                  <w:lang w:val="en-US" w:eastAsia="zh-CN"/>
                                </w:rPr>
                              </m:ctrlPr>
                            </m:sub>
                          </m:sSub>
                          <m:ctrlPr>
                            <w:rPr>
                              <w:rFonts w:ascii="Cambria Math" w:hAnsi="Cambria Math"/>
                              <w:i/>
                              <w:highlight w:val="none"/>
                              <w:lang w:val="en-US"/>
                            </w:rPr>
                          </m:ctrlPr>
                        </m:e>
                      </m:func>
                      <m:ctrlPr>
                        <w:rPr>
                          <w:rFonts w:hint="default" w:ascii="Cambria Math" w:hAnsi="Cambria Math"/>
                          <w:i/>
                          <w:highlight w:val="none"/>
                          <w:lang w:val="en-US" w:eastAsia="zh-CN"/>
                        </w:rPr>
                      </m:ctrlPr>
                    </m:e>
                  </m:func>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14:paraId="76093939">
      <w:pPr>
        <w:rPr>
          <w:rFonts w:hint="default" w:hAnsi="Cambria Math"/>
          <w:i w:val="0"/>
          <w:highlight w:val="none"/>
          <w:lang w:val="en-US" w:eastAsia="zh-CN"/>
        </w:rPr>
      </w:pPr>
      <m:oMathPara>
        <m:oMath>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r>
            <m:rPr/>
            <w:rPr>
              <w:rFonts w:ascii="Cambria Math" w:hAnsi="Cambria Math"/>
              <w:highlight w:val="none"/>
              <w:lang w:val="en-US"/>
            </w:rPr>
            <m:t>α∙</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oMath>
      </m:oMathPara>
    </w:p>
    <w:p w14:paraId="3391B894">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ℎ</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r>
                    <m:rPr/>
                    <w:rPr>
                      <w:rFonts w:ascii="Cambria Math" w:hAnsi="Cambria Math"/>
                      <w:highlight w:val="none"/>
                      <w:lang w:val="en-US"/>
                    </w:rPr>
                    <m:t>θ</m:t>
                  </m:r>
                  <m:ctrlPr>
                    <w:rPr>
                      <w:rFonts w:hint="default" w:ascii="Cambria Math" w:hAnsi="Cambria Math"/>
                      <w:i/>
                      <w:highlight w:val="none"/>
                      <w:lang w:val="en-US" w:eastAsia="zh-CN"/>
                    </w:rPr>
                  </m:ctrlPr>
                </m:e>
              </m:func>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func>
              <m:ctrlPr>
                <w:rPr>
                  <w:rFonts w:hint="default" w:ascii="Cambria Math" w:hAnsi="Cambria Math"/>
                  <w:i/>
                  <w:highlight w:val="none"/>
                  <w:lang w:val="en-US" w:eastAsia="zh-CN"/>
                </w:rPr>
              </m:ctrlPr>
            </m:e>
          </m:d>
        </m:oMath>
      </m:oMathPara>
    </w:p>
    <w:p w14:paraId="1AD9DD4D">
      <w:pPr>
        <w:tabs>
          <w:tab w:val="left" w:pos="2127"/>
        </w:tabs>
        <w:spacing w:after="0"/>
        <w:rPr>
          <w:rFonts w:hint="default" w:hAnsi="Cambria Math"/>
          <w:i w:val="0"/>
          <w:highlight w:val="none"/>
          <w:lang w:val="en-US" w:eastAsia="zh-CN"/>
        </w:rPr>
      </w:pPr>
      <w:r>
        <w:rPr>
          <w:rFonts w:hint="eastAsia"/>
          <w:b/>
          <w:bCs/>
          <w:lang w:val="en-US" w:eastAsia="zh-CN"/>
        </w:rPr>
        <w:t>Proposal 3:</w:t>
      </w:r>
      <w:r>
        <w:rPr>
          <w:rFonts w:hint="eastAsia"/>
          <w:b w:val="0"/>
          <w:bCs w:val="0"/>
          <w:lang w:val="en-US" w:eastAsia="zh-CN"/>
        </w:rPr>
        <w:t xml:space="preserve"> propose to consider the hybrid beamforming BS class in 6GR especially for around 7GHz 6GR BS.</w:t>
      </w:r>
    </w:p>
    <w:p w14:paraId="46AF271E">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2.2.2. FR1 BS type 1-H in FR1 low bands </w:t>
      </w:r>
    </w:p>
    <w:p w14:paraId="22DDBB75">
      <w:pPr>
        <w:tabs>
          <w:tab w:val="left" w:pos="2127"/>
        </w:tabs>
        <w:spacing w:after="0"/>
        <w:rPr>
          <w:rFonts w:hint="default"/>
          <w:color w:val="0000FF"/>
          <w:lang w:val="en-US" w:eastAsia="zh-CN"/>
        </w:rPr>
      </w:pPr>
      <w:r>
        <w:rPr>
          <w:rFonts w:hint="eastAsia"/>
          <w:lang w:val="en-US" w:eastAsia="zh-CN"/>
        </w:rPr>
        <w:t>For BS at FR1 low bands especially below 1GHz, usually BS type deployed are mainly focusing on BS type 1-C with traditional RRU and passive antenna, however for these important coverage bands for both 5G and 6G, to evolve from the legacy BS type 1-C to BS type 1-H with more digital transceivers chains could help boost the capacity especially from MU-MIMO perspective. Indeed this kind of BS type implementation at FR1 low bands was also discussed in 5G-A phase as NR BS spec maintenance/improvement during Q4,2024, however there were no conclusions draw for it.</w:t>
      </w:r>
    </w:p>
    <w:p w14:paraId="40572100">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715000" cy="2743835"/>
            <wp:effectExtent l="0" t="0" r="0"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11"/>
                    <a:srcRect b="7671"/>
                    <a:stretch>
                      <a:fillRect/>
                    </a:stretch>
                  </pic:blipFill>
                  <pic:spPr>
                    <a:xfrm>
                      <a:off x="0" y="0"/>
                      <a:ext cx="5715000" cy="2743835"/>
                    </a:xfrm>
                    <a:prstGeom prst="rect">
                      <a:avLst/>
                    </a:prstGeom>
                    <a:noFill/>
                    <a:ln w="9525">
                      <a:noFill/>
                    </a:ln>
                  </pic:spPr>
                </pic:pic>
              </a:graphicData>
            </a:graphic>
          </wp:inline>
        </w:drawing>
      </w:r>
    </w:p>
    <w:p w14:paraId="7B1FD0E1">
      <w:pPr>
        <w:tabs>
          <w:tab w:val="left" w:pos="2127"/>
        </w:tabs>
        <w:spacing w:after="0"/>
        <w:jc w:val="center"/>
        <w:rPr>
          <w:rFonts w:hint="eastAsia"/>
          <w:lang w:val="en-US" w:eastAsia="zh-CN"/>
        </w:rPr>
      </w:pPr>
      <w:r>
        <w:rPr>
          <w:rFonts w:hint="eastAsia"/>
          <w:lang w:val="en-US" w:eastAsia="zh-CN"/>
        </w:rPr>
        <w:t>Figure 2.2.2-1. The illustration of AAS evolution at FR1 low bands (e.g. low than 1GHz)</w:t>
      </w:r>
    </w:p>
    <w:p w14:paraId="5EB2E756">
      <w:pPr>
        <w:tabs>
          <w:tab w:val="left" w:pos="2127"/>
        </w:tabs>
        <w:spacing w:after="0"/>
        <w:jc w:val="left"/>
        <w:rPr>
          <w:rFonts w:hint="eastAsia"/>
          <w:lang w:val="en-US" w:eastAsia="zh-CN"/>
        </w:rPr>
      </w:pPr>
      <w:r>
        <w:rPr>
          <w:rFonts w:hint="eastAsia"/>
          <w:b/>
          <w:bCs/>
          <w:lang w:val="en-US" w:eastAsia="zh-CN"/>
        </w:rPr>
        <w:t>Proposal 4:</w:t>
      </w:r>
      <w:r>
        <w:rPr>
          <w:rFonts w:hint="eastAsia"/>
          <w:lang w:val="en-US" w:eastAsia="zh-CN"/>
        </w:rPr>
        <w:t xml:space="preserve"> propose to consider the BS type 1-H at FR1 low bands as the evolution of the legacy BS type 1-C in 6G day1.</w:t>
      </w:r>
    </w:p>
    <w:p w14:paraId="3B39CD88">
      <w:pPr>
        <w:tabs>
          <w:tab w:val="left" w:pos="2127"/>
        </w:tabs>
        <w:spacing w:after="0"/>
        <w:jc w:val="left"/>
        <w:rPr>
          <w:rFonts w:hint="eastAsia"/>
          <w:lang w:val="en-US" w:eastAsia="zh-CN"/>
        </w:rPr>
      </w:pPr>
    </w:p>
    <w:p w14:paraId="3527F94A">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lang w:val="en-US" w:eastAsia="zh-CN"/>
        </w:rPr>
      </w:pPr>
      <w:r>
        <w:rPr>
          <w:rFonts w:hint="eastAsia"/>
          <w:b w:val="0"/>
          <w:bCs w:val="0"/>
          <w:lang w:val="en-US" w:eastAsia="zh-CN"/>
        </w:rPr>
        <w:t>2.2.3. AAS BS supporting in-band NB-IoT operation/LP-WUS</w:t>
      </w:r>
    </w:p>
    <w:p w14:paraId="09D597E4">
      <w:pPr>
        <w:spacing w:after="0"/>
        <w:jc w:val="left"/>
        <w:rPr>
          <w:rFonts w:hint="eastAsia"/>
          <w:lang w:val="en-US" w:eastAsia="zh-CN"/>
        </w:rPr>
      </w:pPr>
      <w:r>
        <w:rPr>
          <w:rFonts w:eastAsiaTheme="minorEastAsia"/>
        </w:rPr>
        <w:t>NB-IoT In-band operation, NB-IoT guard band operation,</w:t>
      </w:r>
      <w:r>
        <w:rPr>
          <w:rFonts w:hint="eastAsia" w:eastAsiaTheme="minorEastAsia"/>
        </w:rPr>
        <w:t xml:space="preserve"> </w:t>
      </w:r>
      <w:r>
        <w:rPr>
          <w:rFonts w:eastAsiaTheme="minorEastAsia"/>
        </w:rPr>
        <w:t>NB-IoT standalone operation</w:t>
      </w:r>
      <w:r>
        <w:rPr>
          <w:rFonts w:hint="eastAsia" w:eastAsiaTheme="minorEastAsia"/>
        </w:rPr>
        <w:t xml:space="preserve"> and </w:t>
      </w:r>
      <w:r>
        <w:rPr>
          <w:rFonts w:eastAsiaTheme="minorEastAsia"/>
        </w:rPr>
        <w:t>NB-IoT operation in NR in-band</w:t>
      </w:r>
      <w:r>
        <w:rPr>
          <w:rFonts w:hint="eastAsia" w:eastAsiaTheme="minorEastAsia"/>
        </w:rPr>
        <w:t xml:space="preserve">, </w:t>
      </w:r>
      <w:r>
        <w:rPr>
          <w:rFonts w:eastAsiaTheme="minorEastAsia"/>
        </w:rPr>
        <w:t>NB-IoT operation in NR guard band</w:t>
      </w:r>
      <w:r>
        <w:rPr>
          <w:rFonts w:hint="eastAsia" w:eastAsiaTheme="minorEastAsia"/>
        </w:rPr>
        <w:t xml:space="preserve"> have not been supported for AAS MSR BS or NR BS type 1-H/1-O. The primary reason for this type of restriction is that NB-IoT is expected to be deployed in operating bands below 2 GHz. However, for these specific frequency bands, BS type 1-C was the most typical BS implementation previously. Recently, for FR1 low bands (e.g. lower than 2GHz), massive MIMO</w:t>
      </w:r>
      <w:r>
        <w:rPr>
          <w:rFonts w:hint="eastAsia" w:eastAsiaTheme="minorEastAsia"/>
          <w:lang w:val="en-US" w:eastAsia="zh-CN"/>
        </w:rPr>
        <w:t xml:space="preserve"> or BS type 1-H</w:t>
      </w:r>
      <w:r>
        <w:rPr>
          <w:rFonts w:hint="eastAsia" w:eastAsiaTheme="minorEastAsia"/>
        </w:rPr>
        <w:t xml:space="preserve"> is also supported to further improve the network capacity, therefore it is necessary to specify the </w:t>
      </w:r>
      <w:r>
        <w:rPr>
          <w:rFonts w:hint="eastAsia" w:eastAsiaTheme="minorEastAsia"/>
          <w:lang w:val="en-US" w:eastAsia="zh-CN"/>
        </w:rPr>
        <w:t xml:space="preserve">in-band </w:t>
      </w:r>
      <w:r>
        <w:rPr>
          <w:rFonts w:hint="eastAsia" w:eastAsiaTheme="minorEastAsia"/>
        </w:rPr>
        <w:t xml:space="preserve">NB-IoT operation under the BS type 1-H/1-O architecture in </w:t>
      </w:r>
      <w:r>
        <w:rPr>
          <w:rFonts w:hint="eastAsia" w:eastAsiaTheme="minorEastAsia"/>
          <w:lang w:val="en-US" w:eastAsia="zh-CN"/>
        </w:rPr>
        <w:t>6G considering the expected long life cycle of NB-IoT system in filed.</w:t>
      </w:r>
    </w:p>
    <w:p w14:paraId="2296603E">
      <w:pPr>
        <w:tabs>
          <w:tab w:val="left" w:pos="2127"/>
        </w:tabs>
        <w:spacing w:after="0"/>
        <w:jc w:val="left"/>
        <w:rPr>
          <w:rFonts w:hint="eastAsia"/>
          <w:b w:val="0"/>
          <w:bCs w:val="0"/>
          <w:lang w:val="en-US" w:eastAsia="zh-CN"/>
        </w:rPr>
      </w:pPr>
      <w:r>
        <w:rPr>
          <w:rFonts w:hint="eastAsia"/>
          <w:b/>
          <w:bCs/>
          <w:lang w:val="en-US" w:eastAsia="zh-CN"/>
        </w:rPr>
        <w:t>Proposal 5:</w:t>
      </w:r>
      <w:r>
        <w:rPr>
          <w:rFonts w:hint="eastAsia"/>
          <w:lang w:val="en-US" w:eastAsia="zh-CN"/>
        </w:rPr>
        <w:t xml:space="preserve"> propose to support the in-band NB-IoT operation for BS type 1-H and BS type 1-O in 6G day1.</w:t>
      </w:r>
    </w:p>
    <w:p w14:paraId="3FBE21AD">
      <w:pPr>
        <w:spacing w:after="0"/>
        <w:jc w:val="left"/>
        <w:rPr>
          <w:rFonts w:hint="default"/>
          <w:lang w:val="en-US" w:eastAsia="zh-CN"/>
        </w:rPr>
      </w:pPr>
      <w:r>
        <w:rPr>
          <w:rFonts w:hint="eastAsia"/>
          <w:lang w:val="en-US" w:eastAsia="zh-CN"/>
        </w:rPr>
        <w:t>LP-WUS signal was introduced in Rel-19 for both FR1 and FR2-1 as one of important 5G-A feature to enable ultra-low power consumption. However during the Rel-19 discussion, the technical concerns on the potential EVM degradation on NR DL signal due to the simultaneous transmission of LP-WUS signal was raised especially for high modulation order (e.g. 256QAM) which is almost the mandatory feature of the commercial NR BS, therefore we propose to conduct more technical discussions in 6G day1 to figure out the problems instead of reusing the agreement/requirements from 5G-A in Rel-19 and leave up to the implementation.</w:t>
      </w:r>
    </w:p>
    <w:p w14:paraId="048CA83A">
      <w:pPr>
        <w:tabs>
          <w:tab w:val="left" w:pos="2127"/>
        </w:tabs>
        <w:spacing w:after="0"/>
        <w:jc w:val="left"/>
        <w:rPr>
          <w:rFonts w:hint="default"/>
          <w:b w:val="0"/>
          <w:bCs w:val="0"/>
          <w:lang w:val="en-US" w:eastAsia="zh-CN"/>
        </w:rPr>
      </w:pPr>
      <w:r>
        <w:rPr>
          <w:rFonts w:hint="eastAsia"/>
          <w:b/>
          <w:bCs/>
          <w:lang w:val="en-US" w:eastAsia="zh-CN"/>
        </w:rPr>
        <w:t>Proposal 6:</w:t>
      </w:r>
      <w:r>
        <w:rPr>
          <w:rFonts w:hint="eastAsia"/>
          <w:lang w:val="en-US" w:eastAsia="zh-CN"/>
        </w:rPr>
        <w:t xml:space="preserve"> if LP-WUS signal is supported in 6G day1, propose to further discuss the impacts on potential EVM degradation of NR signal due to the simultaneous LP-WUS signal transmission.</w:t>
      </w:r>
    </w:p>
    <w:p w14:paraId="732B8D68">
      <w:pPr>
        <w:numPr>
          <w:ilvl w:val="0"/>
          <w:numId w:val="0"/>
        </w:numPr>
        <w:tabs>
          <w:tab w:val="left" w:pos="2127"/>
        </w:tabs>
        <w:spacing w:after="0"/>
        <w:jc w:val="both"/>
        <w:rPr>
          <w:rFonts w:hint="eastAsia"/>
          <w:b w:val="0"/>
          <w:bCs w:val="0"/>
          <w:lang w:val="en-US" w:eastAsia="zh-CN"/>
        </w:rPr>
      </w:pPr>
    </w:p>
    <w:p w14:paraId="0E5330D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2.2.4. Calibrated beamforming for multi-band operation BS</w:t>
      </w:r>
    </w:p>
    <w:p w14:paraId="32ABA855">
      <w:pPr>
        <w:spacing w:after="0"/>
        <w:jc w:val="left"/>
        <w:rPr>
          <w:rFonts w:hint="eastAsia"/>
          <w:lang w:val="en-US" w:eastAsia="zh-CN"/>
        </w:rPr>
      </w:pPr>
      <w:r>
        <w:rPr>
          <w:rFonts w:hint="eastAsia"/>
          <w:lang w:val="en-US" w:eastAsia="zh-CN"/>
        </w:rPr>
        <w:t>In the Rel-15, the fractional bandwidth as shown in the following was introduced for NR BS type 1-H/1-O/2-O considering the NR BS supporting the large frequency range within the band (e.g. band n77, n104, FR2 bands) or across different bands for MB-BS and the corresponding antenna performance across the large frequency range.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52918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DE7665D">
            <w:pPr>
              <w:keepNext w:val="0"/>
              <w:keepLines w:val="0"/>
              <w:suppressLineNumbers w:val="0"/>
              <w:spacing w:before="0" w:beforeAutospacing="0" w:afterAutospacing="0"/>
              <w:ind w:left="0" w:right="0"/>
              <w:rPr>
                <w:rFonts w:hint="default"/>
              </w:rPr>
            </w:pPr>
            <w:r>
              <w:rPr>
                <w:rFonts w:hint="default"/>
                <w:b/>
                <w:bCs/>
              </w:rPr>
              <w:t xml:space="preserve">fractional bandwidth: </w:t>
            </w:r>
            <w:r>
              <w:rPr>
                <w:rFonts w:hint="default"/>
                <w:bCs/>
                <w:i/>
              </w:rPr>
              <w:t>fractional bandwidth</w:t>
            </w:r>
            <w:r>
              <w:rPr>
                <w:rFonts w:hint="default"/>
                <w:bCs/>
              </w:rPr>
              <w:t xml:space="preserve"> FBW is defined as </w:t>
            </w:r>
            <m:oMath>
              <m:r>
                <m:rPr/>
                <w:rPr>
                  <w:rFonts w:hint="default" w:ascii="Cambria Math" w:hAnsi="Cambria Math"/>
                </w:rPr>
                <m:t>FBW</m:t>
              </m:r>
              <m:r>
                <m:rPr>
                  <m:sty m:val="p"/>
                </m:rPr>
                <w:rPr>
                  <w:rFonts w:hint="default" w:ascii="Cambria Math" w:hAnsi="Cambria Math"/>
                </w:rPr>
                <m:t>=200∙</m:t>
              </m:r>
              <m:f>
                <m:fPr>
                  <m:ctrlPr>
                    <w:rPr>
                      <w:rFonts w:hint="default" w:ascii="Cambria Math" w:hAnsi="Cambria Math"/>
                      <w:bCs/>
                    </w:rPr>
                  </m:ctrlPr>
                </m:fPr>
                <m:num>
                  <m:sSub>
                    <m:sSubPr>
                      <m:ctrlPr>
                        <w:rPr>
                          <w:rFonts w:hint="default" w:ascii="Cambria Math" w:hAnsi="Cambria Math"/>
                          <w:bCs/>
                          <w:i/>
                        </w:rPr>
                      </m:ctrlPr>
                    </m:sSubPr>
                    <m:e>
                      <m:r>
                        <m:rPr/>
                        <w:rPr>
                          <w:rFonts w:hint="default" w:ascii="Cambria Math" w:hAnsi="Cambria Math"/>
                        </w:rPr>
                        <m:t>F</m:t>
                      </m:r>
                      <m:ctrlPr>
                        <w:rPr>
                          <w:rFonts w:hint="default" w:ascii="Cambria Math" w:hAnsi="Cambria Math"/>
                          <w:bCs/>
                          <w:i/>
                        </w:rPr>
                      </m:ctrlPr>
                    </m:e>
                    <m:sub>
                      <m:r>
                        <m:rPr/>
                        <w:rPr>
                          <w:rFonts w:hint="default" w:ascii="Cambria Math" w:hAnsi="Cambria Math"/>
                        </w:rPr>
                        <m:t>FBWℎigℎ</m:t>
                      </m:r>
                      <m:ctrlPr>
                        <w:rPr>
                          <w:rFonts w:hint="default" w:ascii="Cambria Math" w:hAnsi="Cambria Math"/>
                          <w:bCs/>
                          <w:i/>
                        </w:rPr>
                      </m:ctrlPr>
                    </m:sub>
                  </m:sSub>
                  <m:r>
                    <m:rPr/>
                    <w:rPr>
                      <w:rFonts w:hint="default" w:ascii="Cambria Math" w:hAnsi="Cambria Math"/>
                    </w:rPr>
                    <m:t>−</m:t>
                  </m:r>
                  <m:sSub>
                    <m:sSubPr>
                      <m:ctrlPr>
                        <w:rPr>
                          <w:rFonts w:hint="default" w:ascii="Cambria Math" w:hAnsi="Cambria Math"/>
                          <w:bCs/>
                          <w:i/>
                        </w:rPr>
                      </m:ctrlPr>
                    </m:sSubPr>
                    <m:e>
                      <m:r>
                        <m:rPr/>
                        <w:rPr>
                          <w:rFonts w:hint="default" w:ascii="Cambria Math" w:hAnsi="Cambria Math"/>
                        </w:rPr>
                        <m:t>F</m:t>
                      </m:r>
                      <m:ctrlPr>
                        <w:rPr>
                          <w:rFonts w:hint="default" w:ascii="Cambria Math" w:hAnsi="Cambria Math"/>
                          <w:bCs/>
                          <w:i/>
                        </w:rPr>
                      </m:ctrlPr>
                    </m:e>
                    <m:sub>
                      <m:r>
                        <m:rPr/>
                        <w:rPr>
                          <w:rFonts w:hint="default" w:ascii="Cambria Math" w:hAnsi="Cambria Math"/>
                        </w:rPr>
                        <m:t>FBWlow</m:t>
                      </m:r>
                      <m:ctrlPr>
                        <w:rPr>
                          <w:rFonts w:hint="default" w:ascii="Cambria Math" w:hAnsi="Cambria Math"/>
                          <w:bCs/>
                          <w:i/>
                        </w:rPr>
                      </m:ctrlPr>
                    </m:sub>
                  </m:sSub>
                  <m:ctrlPr>
                    <w:rPr>
                      <w:rFonts w:hint="default" w:ascii="Cambria Math" w:hAnsi="Cambria Math"/>
                      <w:bCs/>
                    </w:rPr>
                  </m:ctrlPr>
                </m:num>
                <m:den>
                  <m:sSub>
                    <m:sSubPr>
                      <m:ctrlPr>
                        <w:rPr>
                          <w:rFonts w:hint="default" w:ascii="Cambria Math" w:hAnsi="Cambria Math"/>
                          <w:bCs/>
                          <w:i/>
                        </w:rPr>
                      </m:ctrlPr>
                    </m:sSubPr>
                    <m:e>
                      <m:r>
                        <m:rPr/>
                        <w:rPr>
                          <w:rFonts w:hint="default" w:ascii="Cambria Math" w:hAnsi="Cambria Math"/>
                        </w:rPr>
                        <m:t>F</m:t>
                      </m:r>
                      <m:ctrlPr>
                        <w:rPr>
                          <w:rFonts w:hint="default" w:ascii="Cambria Math" w:hAnsi="Cambria Math"/>
                          <w:bCs/>
                          <w:i/>
                        </w:rPr>
                      </m:ctrlPr>
                    </m:e>
                    <m:sub>
                      <m:r>
                        <m:rPr/>
                        <w:rPr>
                          <w:rFonts w:hint="default" w:ascii="Cambria Math" w:hAnsi="Cambria Math"/>
                        </w:rPr>
                        <m:t>FBWℎigℎ</m:t>
                      </m:r>
                      <m:ctrlPr>
                        <w:rPr>
                          <w:rFonts w:hint="default" w:ascii="Cambria Math" w:hAnsi="Cambria Math"/>
                          <w:bCs/>
                          <w:i/>
                        </w:rPr>
                      </m:ctrlPr>
                    </m:sub>
                  </m:sSub>
                  <m:r>
                    <m:rPr/>
                    <w:rPr>
                      <w:rFonts w:hint="default" w:ascii="Cambria Math" w:hAnsi="Cambria Math"/>
                    </w:rPr>
                    <m:t>+</m:t>
                  </m:r>
                  <m:sSub>
                    <m:sSubPr>
                      <m:ctrlPr>
                        <w:rPr>
                          <w:rFonts w:hint="default" w:ascii="Cambria Math" w:hAnsi="Cambria Math"/>
                          <w:bCs/>
                          <w:i/>
                        </w:rPr>
                      </m:ctrlPr>
                    </m:sSubPr>
                    <m:e>
                      <m:r>
                        <m:rPr/>
                        <w:rPr>
                          <w:rFonts w:hint="default" w:ascii="Cambria Math" w:hAnsi="Cambria Math"/>
                        </w:rPr>
                        <m:t>F</m:t>
                      </m:r>
                      <m:ctrlPr>
                        <w:rPr>
                          <w:rFonts w:hint="default" w:ascii="Cambria Math" w:hAnsi="Cambria Math"/>
                          <w:bCs/>
                          <w:i/>
                        </w:rPr>
                      </m:ctrlPr>
                    </m:e>
                    <m:sub>
                      <m:r>
                        <m:rPr/>
                        <w:rPr>
                          <w:rFonts w:hint="default" w:ascii="Cambria Math" w:hAnsi="Cambria Math"/>
                        </w:rPr>
                        <m:t>FBWlow</m:t>
                      </m:r>
                      <m:ctrlPr>
                        <w:rPr>
                          <w:rFonts w:hint="default" w:ascii="Cambria Math" w:hAnsi="Cambria Math"/>
                          <w:bCs/>
                          <w:i/>
                        </w:rPr>
                      </m:ctrlPr>
                    </m:sub>
                  </m:sSub>
                  <m:ctrlPr>
                    <w:rPr>
                      <w:rFonts w:hint="default" w:ascii="Cambria Math" w:hAnsi="Cambria Math"/>
                      <w:bCs/>
                    </w:rPr>
                  </m:ctrlPr>
                </m:den>
              </m:f>
              <m:r>
                <m:rPr/>
                <w:rPr>
                  <w:rFonts w:hint="default" w:ascii="Cambria Math" w:hAnsi="Cambria Math"/>
                </w:rPr>
                <m:t>%</m:t>
              </m:r>
            </m:oMath>
          </w:p>
          <w:p w14:paraId="1267477F">
            <w:pPr>
              <w:pStyle w:val="53"/>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60" w:lineRule="auto"/>
              <w:ind w:left="283" w:right="0" w:hanging="283"/>
              <w:textAlignment w:val="auto"/>
              <w:rPr>
                <w:rFonts w:hint="default"/>
              </w:rPr>
            </w:pPr>
            <w:r>
              <w:rPr>
                <w:rFonts w:hint="default"/>
              </w:rPr>
              <w:tab/>
            </w:r>
            <w:r>
              <w:rPr>
                <w:rFonts w:hint="default"/>
              </w:rPr>
              <w:t xml:space="preserve">For </w:t>
            </w:r>
            <w:r>
              <w:rPr>
                <w:rFonts w:hint="default"/>
                <w:i/>
              </w:rPr>
              <w:t>operating bands</w:t>
            </w:r>
            <w:r>
              <w:rPr>
                <w:rFonts w:hint="default"/>
              </w:rPr>
              <w:t xml:space="preserve"> where the supported </w:t>
            </w:r>
            <w:r>
              <w:rPr>
                <w:rFonts w:hint="default"/>
                <w:i/>
              </w:rPr>
              <w:t>fractional bandwidth</w:t>
            </w:r>
            <w:r>
              <w:rPr>
                <w:rFonts w:hint="default"/>
              </w:rPr>
              <w:t xml:space="preserve"> (FBW) is larger than 6%, two rated carrier EIRP may be declared by manufacturer:</w:t>
            </w:r>
          </w:p>
          <w:p w14:paraId="15DAF314">
            <w:pPr>
              <w:pStyle w:val="53"/>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60" w:lineRule="auto"/>
              <w:ind w:left="283" w:right="0" w:hanging="283"/>
              <w:textAlignment w:val="auto"/>
              <w:rPr>
                <w:rFonts w:hint="default"/>
                <w:lang w:eastAsia="zh-CN"/>
              </w:rPr>
            </w:pPr>
            <w:r>
              <w:rPr>
                <w:rFonts w:hint="default"/>
                <w:lang w:eastAsia="zh-CN"/>
              </w:rPr>
              <w:t>-</w:t>
            </w:r>
            <w:r>
              <w:rPr>
                <w:rFonts w:hint="default"/>
                <w:lang w:eastAsia="zh-CN"/>
              </w:rPr>
              <w:tab/>
            </w:r>
            <w:r>
              <w:rPr>
                <w:rFonts w:hint="default"/>
                <w:lang w:eastAsia="zh-CN"/>
              </w:rPr>
              <w:t>P</w:t>
            </w:r>
            <w:r>
              <w:rPr>
                <w:rFonts w:hint="default"/>
                <w:vertAlign w:val="subscript"/>
                <w:lang w:eastAsia="ja-JP"/>
              </w:rPr>
              <w:t>r</w:t>
            </w:r>
            <w:r>
              <w:rPr>
                <w:rFonts w:hint="default"/>
                <w:vertAlign w:val="subscript"/>
                <w:lang w:eastAsia="zh-CN"/>
              </w:rPr>
              <w:t>ated,c,FBWlow</w:t>
            </w:r>
            <w:r>
              <w:rPr>
                <w:rFonts w:hint="default"/>
                <w:lang w:eastAsia="zh-CN"/>
              </w:rPr>
              <w:t xml:space="preserve"> for lower supported frequency range, and</w:t>
            </w:r>
          </w:p>
          <w:p w14:paraId="5BED4DC9">
            <w:pPr>
              <w:pStyle w:val="53"/>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260" w:lineRule="auto"/>
              <w:ind w:left="283" w:right="0" w:hanging="283"/>
              <w:textAlignment w:val="auto"/>
              <w:rPr>
                <w:rFonts w:hint="default"/>
                <w:b w:val="0"/>
                <w:bCs w:val="0"/>
                <w:vertAlign w:val="baseline"/>
                <w:lang w:val="en-US" w:eastAsia="zh-CN"/>
              </w:rPr>
            </w:pPr>
            <w:r>
              <w:rPr>
                <w:rFonts w:hint="default"/>
                <w:lang w:eastAsia="zh-CN"/>
              </w:rPr>
              <w:t>-</w:t>
            </w:r>
            <w:r>
              <w:rPr>
                <w:rFonts w:hint="default"/>
                <w:lang w:eastAsia="zh-CN"/>
              </w:rPr>
              <w:tab/>
            </w:r>
            <w:r>
              <w:rPr>
                <w:rFonts w:hint="default"/>
                <w:lang w:eastAsia="zh-CN"/>
              </w:rPr>
              <w:t>P</w:t>
            </w:r>
            <w:r>
              <w:rPr>
                <w:rFonts w:hint="default"/>
                <w:vertAlign w:val="subscript"/>
                <w:lang w:eastAsia="ja-JP"/>
              </w:rPr>
              <w:t>r</w:t>
            </w:r>
            <w:r>
              <w:rPr>
                <w:rFonts w:hint="default"/>
                <w:vertAlign w:val="subscript"/>
                <w:lang w:eastAsia="zh-CN"/>
              </w:rPr>
              <w:t>ated,c,FBWhigh</w:t>
            </w:r>
            <w:r>
              <w:rPr>
                <w:rFonts w:hint="default"/>
                <w:lang w:eastAsia="zh-CN"/>
              </w:rPr>
              <w:t xml:space="preserve"> for higher supported frequency range.</w:t>
            </w:r>
          </w:p>
        </w:tc>
      </w:tr>
    </w:tbl>
    <w:p w14:paraId="364FA268">
      <w:pPr>
        <w:spacing w:after="0"/>
        <w:jc w:val="left"/>
        <w:rPr>
          <w:rFonts w:hint="eastAsia"/>
          <w:lang w:val="en-US" w:eastAsia="zh-CN"/>
        </w:rPr>
      </w:pPr>
      <w:r>
        <w:rPr>
          <w:rFonts w:hint="eastAsia"/>
          <w:b w:val="0"/>
          <w:bCs w:val="0"/>
          <w:lang w:val="en-US" w:eastAsia="zh-CN"/>
        </w:rPr>
        <w:t xml:space="preserve">In the following Figure </w:t>
      </w:r>
      <w:r>
        <w:rPr>
          <w:rFonts w:hint="eastAsia"/>
          <w:lang w:val="en-US" w:eastAsia="zh-CN"/>
        </w:rPr>
        <w:t xml:space="preserve">2.2.4-1, we try to clarify the background reasoning to define this fractional bandwidth in 5G and the potential improvement in 6G phase. </w:t>
      </w:r>
    </w:p>
    <w:p w14:paraId="6526BE87">
      <w:pPr>
        <w:spacing w:after="0"/>
        <w:jc w:val="left"/>
        <w:rPr>
          <w:rFonts w:hint="default"/>
          <w:b w:val="0"/>
          <w:bCs w:val="0"/>
          <w:lang w:val="en-US" w:eastAsia="zh-CN"/>
        </w:rPr>
      </w:pPr>
      <w:r>
        <w:rPr>
          <w:rFonts w:hint="eastAsia"/>
          <w:lang w:val="en-US" w:eastAsia="zh-CN"/>
        </w:rPr>
        <w:t xml:space="preserve">First of all, if the supporting frequency range for BS or physical antenna array is very large, then in order to avoid the antenna gating lobes at the highest supported frequency range to waste the radiation power, the spacing of antenna element is usually decided by the upper frequency instead of low frequency or middle frequency as shown in Figure 2.2.4-1. For beamforming at carrier 1, 2, 3, due to the different wavelength at these frequency range which is not matching with the actual physical element spacing for carrier 4, beamforming gain cannot been steered directly or with some mismatching beam steering, therefore we propose to have some further discussion on the feasibility on the calibrated beamforming for multi-band operation BS or wide spectrum operation BS. </w:t>
      </w:r>
    </w:p>
    <w:p w14:paraId="78252998">
      <w:pPr>
        <w:keepNext w:val="0"/>
        <w:keepLines w:val="0"/>
        <w:widowControl/>
        <w:suppressLineNumbers w:val="0"/>
        <w:jc w:val="both"/>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616700" cy="4662170"/>
            <wp:effectExtent l="0" t="0" r="12700" b="508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2"/>
                    <a:stretch>
                      <a:fillRect/>
                    </a:stretch>
                  </pic:blipFill>
                  <pic:spPr>
                    <a:xfrm>
                      <a:off x="0" y="0"/>
                      <a:ext cx="6616700" cy="4662170"/>
                    </a:xfrm>
                    <a:prstGeom prst="rect">
                      <a:avLst/>
                    </a:prstGeom>
                    <a:noFill/>
                    <a:ln w="9525">
                      <a:noFill/>
                    </a:ln>
                  </pic:spPr>
                </pic:pic>
              </a:graphicData>
            </a:graphic>
          </wp:inline>
        </w:drawing>
      </w:r>
    </w:p>
    <w:p w14:paraId="676947EA">
      <w:pPr>
        <w:tabs>
          <w:tab w:val="left" w:pos="2127"/>
        </w:tabs>
        <w:spacing w:after="0"/>
        <w:jc w:val="center"/>
        <w:rPr>
          <w:rFonts w:hint="default"/>
          <w:lang w:val="en-US" w:eastAsia="zh-CN"/>
        </w:rPr>
      </w:pPr>
      <w:r>
        <w:rPr>
          <w:rFonts w:hint="eastAsia"/>
          <w:lang w:val="en-US" w:eastAsia="zh-CN"/>
        </w:rPr>
        <w:t>Figure 2.2.4-1.The illustration of fractional bandwidth and potential calibrated beamforming in 6G phase</w:t>
      </w:r>
    </w:p>
    <w:p w14:paraId="53B45335">
      <w:pPr>
        <w:tabs>
          <w:tab w:val="left" w:pos="2127"/>
        </w:tabs>
        <w:spacing w:after="0"/>
        <w:jc w:val="left"/>
        <w:rPr>
          <w:rFonts w:hint="default"/>
          <w:b w:val="0"/>
          <w:bCs w:val="0"/>
          <w:lang w:val="en-US" w:eastAsia="zh-CN"/>
        </w:rPr>
      </w:pPr>
      <w:r>
        <w:rPr>
          <w:rFonts w:hint="eastAsia"/>
          <w:b/>
          <w:bCs/>
          <w:lang w:val="en-US" w:eastAsia="zh-CN"/>
        </w:rPr>
        <w:t>Proposal 7:</w:t>
      </w:r>
      <w:r>
        <w:rPr>
          <w:rFonts w:hint="eastAsia"/>
          <w:lang w:val="en-US" w:eastAsia="zh-CN"/>
        </w:rPr>
        <w:t xml:space="preserve"> in order to achieve the more accurate beam steering direction in 6G day1. propose to have some study  the architecture and RF feasibility on the calibrated beamforming steering for multi-band operation BS or wide spectrum operation BS instead of defining the fractional bandwidth for different rated EIRP.</w:t>
      </w:r>
    </w:p>
    <w:p w14:paraId="7ED8F4C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2.2.5. Dynamic power sharing for multi-band operation BS</w:t>
      </w:r>
    </w:p>
    <w:p w14:paraId="1A852B26">
      <w:pPr>
        <w:spacing w:after="0"/>
        <w:jc w:val="left"/>
        <w:rPr>
          <w:rFonts w:hint="default"/>
          <w:lang w:val="en-US" w:eastAsia="zh-CN"/>
        </w:rPr>
      </w:pPr>
      <w:r>
        <w:rPr>
          <w:rFonts w:hint="eastAsia"/>
          <w:lang w:val="en-US" w:eastAsia="zh-CN"/>
        </w:rPr>
        <w:t>In the commercial network, most of BS can support the large aggregated carrier bandwidth (e.g. intra-band contiguous CA or non-contiguous CA or NR+LTE in the adjacent channel case) or even multi-band operation if these bands are close to each and owned by the same/collaborative operator and plan to commercialize these bands in the filed as shown in Figure 2.2.5-1, the legacy static power setting among different carriers within the band or across different bands is not very efficient from both optimal power consumption and network capacity/coverage perspective, therefore the dynamic power sharing would be useful to improve the network performance in 6G phase (e.g. dynamically adjust the power according to the traffic load in the different carriers/bands).</w:t>
      </w:r>
    </w:p>
    <w:p w14:paraId="6A5EEB9B">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5309235" cy="242443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3"/>
                    <a:srcRect l="286" b="9419"/>
                    <a:stretch>
                      <a:fillRect/>
                    </a:stretch>
                  </pic:blipFill>
                  <pic:spPr>
                    <a:xfrm>
                      <a:off x="0" y="0"/>
                      <a:ext cx="5309235" cy="2424430"/>
                    </a:xfrm>
                    <a:prstGeom prst="rect">
                      <a:avLst/>
                    </a:prstGeom>
                    <a:noFill/>
                    <a:ln w="9525">
                      <a:noFill/>
                    </a:ln>
                  </pic:spPr>
                </pic:pic>
              </a:graphicData>
            </a:graphic>
          </wp:inline>
        </w:drawing>
      </w:r>
    </w:p>
    <w:p w14:paraId="0E576708">
      <w:pPr>
        <w:tabs>
          <w:tab w:val="left" w:pos="2127"/>
        </w:tabs>
        <w:spacing w:after="0"/>
        <w:jc w:val="center"/>
        <w:rPr>
          <w:rFonts w:hint="default"/>
          <w:lang w:val="en-US" w:eastAsia="zh-CN"/>
        </w:rPr>
      </w:pPr>
      <w:r>
        <w:rPr>
          <w:rFonts w:hint="eastAsia"/>
          <w:lang w:val="en-US" w:eastAsia="zh-CN"/>
        </w:rPr>
        <w:t>Figure 2.2.5-1. The illustration of dynamic power sharing for multi-band operation</w:t>
      </w:r>
    </w:p>
    <w:p w14:paraId="3900D014">
      <w:pPr>
        <w:tabs>
          <w:tab w:val="left" w:pos="2127"/>
        </w:tabs>
        <w:spacing w:after="0"/>
        <w:jc w:val="left"/>
        <w:rPr>
          <w:rFonts w:hint="default"/>
          <w:b w:val="0"/>
          <w:bCs w:val="0"/>
          <w:lang w:val="en-US" w:eastAsia="zh-CN"/>
        </w:rPr>
      </w:pPr>
      <w:r>
        <w:rPr>
          <w:rFonts w:hint="eastAsia"/>
          <w:b/>
          <w:bCs/>
          <w:lang w:val="en-US" w:eastAsia="zh-CN"/>
        </w:rPr>
        <w:t>Proposal 8:</w:t>
      </w:r>
      <w:r>
        <w:rPr>
          <w:rFonts w:hint="eastAsia"/>
          <w:lang w:val="en-US" w:eastAsia="zh-CN"/>
        </w:rPr>
        <w:t xml:space="preserve"> for the multi-band operation, propose to consider the dynamic power sharing across different bands to improve the network capacity/coverage.</w:t>
      </w:r>
    </w:p>
    <w:p w14:paraId="06D77F2B">
      <w:pPr>
        <w:numPr>
          <w:ilvl w:val="0"/>
          <w:numId w:val="0"/>
        </w:numPr>
        <w:tabs>
          <w:tab w:val="left" w:pos="2127"/>
        </w:tabs>
        <w:spacing w:after="0"/>
        <w:jc w:val="both"/>
        <w:rPr>
          <w:rFonts w:hint="eastAsia"/>
          <w:lang w:val="en-US" w:eastAsia="zh-CN"/>
        </w:rPr>
      </w:pPr>
    </w:p>
    <w:p w14:paraId="66CAAF0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 xml:space="preserve">2.2.6. </w:t>
      </w:r>
      <w:r>
        <w:rPr>
          <w:rFonts w:hint="default"/>
          <w:b w:val="0"/>
          <w:bCs w:val="0"/>
          <w:lang w:val="en-US" w:eastAsia="zh-CN"/>
        </w:rPr>
        <w:t>Reconfigurable Intelligent Surfaces</w:t>
      </w:r>
      <w:r>
        <w:rPr>
          <w:rFonts w:hint="eastAsia"/>
          <w:b w:val="0"/>
          <w:bCs w:val="0"/>
          <w:lang w:val="en-US" w:eastAsia="zh-CN"/>
        </w:rPr>
        <w:t xml:space="preserve"> (RIS)</w:t>
      </w:r>
    </w:p>
    <w:p w14:paraId="7E7BF7FE">
      <w:pPr>
        <w:tabs>
          <w:tab w:val="left" w:pos="2127"/>
        </w:tabs>
        <w:spacing w:after="0"/>
        <w:jc w:val="left"/>
        <w:rPr>
          <w:rFonts w:hint="default"/>
          <w:b w:val="0"/>
          <w:bCs w:val="0"/>
          <w:lang w:val="en-US" w:eastAsia="zh-CN"/>
        </w:rPr>
      </w:pPr>
      <w:r>
        <w:rPr>
          <w:rFonts w:hint="eastAsia"/>
          <w:b w:val="0"/>
          <w:bCs w:val="0"/>
          <w:lang w:val="en-US" w:eastAsia="zh-CN"/>
        </w:rPr>
        <w:t xml:space="preserve">To </w:t>
      </w:r>
      <w:r>
        <w:rPr>
          <w:rFonts w:hint="default"/>
          <w:b w:val="0"/>
          <w:bCs w:val="0"/>
          <w:lang w:val="en-US" w:eastAsia="zh-CN"/>
        </w:rPr>
        <w:t>fulfill the requirements of 6G in the future, Reconfigurable Intelligent Surfaces (RIS)</w:t>
      </w:r>
      <w:r>
        <w:rPr>
          <w:rFonts w:hint="eastAsia"/>
          <w:b w:val="0"/>
          <w:bCs w:val="0"/>
          <w:lang w:val="en-US" w:eastAsia="zh-CN"/>
        </w:rPr>
        <w:t xml:space="preserve"> as shown in Figure 2.2.6-1/2</w:t>
      </w:r>
      <w:r>
        <w:rPr>
          <w:rFonts w:hint="default"/>
          <w:b w:val="0"/>
          <w:bCs w:val="0"/>
          <w:lang w:val="en-US" w:eastAsia="zh-CN"/>
        </w:rPr>
        <w:t xml:space="preserve"> stands out as a</w:t>
      </w:r>
      <w:r>
        <w:rPr>
          <w:rFonts w:hint="eastAsia"/>
          <w:b w:val="0"/>
          <w:bCs w:val="0"/>
          <w:lang w:val="en-US" w:eastAsia="zh-CN"/>
        </w:rPr>
        <w:t xml:space="preserve"> </w:t>
      </w:r>
      <w:r>
        <w:rPr>
          <w:rFonts w:hint="default"/>
          <w:b w:val="0"/>
          <w:bCs w:val="0"/>
          <w:lang w:val="en-US" w:eastAsia="zh-CN"/>
        </w:rPr>
        <w:t>pivotal potential key technology, offering new physical</w:t>
      </w:r>
      <w:r>
        <w:rPr>
          <w:rFonts w:hint="eastAsia"/>
          <w:b w:val="0"/>
          <w:bCs w:val="0"/>
          <w:lang w:val="en-US" w:eastAsia="zh-CN"/>
        </w:rPr>
        <w:t xml:space="preserve"> </w:t>
      </w:r>
      <w:r>
        <w:rPr>
          <w:rFonts w:hint="default"/>
          <w:b w:val="0"/>
          <w:bCs w:val="0"/>
          <w:lang w:val="en-US" w:eastAsia="zh-CN"/>
        </w:rPr>
        <w:t>dimensions, intelligent programm</w:t>
      </w:r>
      <w:r>
        <w:rPr>
          <w:rFonts w:hint="eastAsia"/>
          <w:b w:val="0"/>
          <w:bCs w:val="0"/>
          <w:lang w:val="en-US" w:eastAsia="zh-CN"/>
        </w:rPr>
        <w:t>ing</w:t>
      </w:r>
      <w:r>
        <w:rPr>
          <w:rFonts w:hint="default"/>
          <w:b w:val="0"/>
          <w:bCs w:val="0"/>
          <w:lang w:val="en-US" w:eastAsia="zh-CN"/>
        </w:rPr>
        <w:t>, and the capability to</w:t>
      </w:r>
      <w:r>
        <w:rPr>
          <w:rFonts w:hint="eastAsia"/>
          <w:b w:val="0"/>
          <w:bCs w:val="0"/>
          <w:lang w:val="en-US" w:eastAsia="zh-CN"/>
        </w:rPr>
        <w:t xml:space="preserve"> </w:t>
      </w:r>
      <w:r>
        <w:rPr>
          <w:rFonts w:hint="default"/>
          <w:b w:val="0"/>
          <w:bCs w:val="0"/>
          <w:lang w:val="en-US" w:eastAsia="zh-CN"/>
        </w:rPr>
        <w:t>manipulate electromagnetic waves abnormally</w:t>
      </w:r>
      <w:r>
        <w:rPr>
          <w:rFonts w:hint="eastAsia"/>
          <w:b w:val="0"/>
          <w:bCs w:val="0"/>
          <w:lang w:val="en-US" w:eastAsia="zh-CN"/>
        </w:rPr>
        <w:t xml:space="preserve"> to provide the service to the target UE</w:t>
      </w:r>
      <w:r>
        <w:rPr>
          <w:rFonts w:hint="default"/>
          <w:b w:val="0"/>
          <w:bCs w:val="0"/>
          <w:lang w:val="en-US" w:eastAsia="zh-CN"/>
        </w:rPr>
        <w:t>. RIS has</w:t>
      </w:r>
      <w:r>
        <w:rPr>
          <w:rFonts w:hint="eastAsia"/>
          <w:b w:val="0"/>
          <w:bCs w:val="0"/>
          <w:lang w:val="en-US" w:eastAsia="zh-CN"/>
        </w:rPr>
        <w:t xml:space="preserve"> also gather </w:t>
      </w:r>
      <w:r>
        <w:rPr>
          <w:rFonts w:hint="default"/>
          <w:b w:val="0"/>
          <w:bCs w:val="0"/>
          <w:lang w:val="en-US" w:eastAsia="zh-CN"/>
        </w:rPr>
        <w:t>substantial attention from both academia and</w:t>
      </w:r>
      <w:r>
        <w:rPr>
          <w:rFonts w:hint="eastAsia"/>
          <w:b w:val="0"/>
          <w:bCs w:val="0"/>
          <w:lang w:val="en-US" w:eastAsia="zh-CN"/>
        </w:rPr>
        <w:t xml:space="preserve"> </w:t>
      </w:r>
      <w:r>
        <w:rPr>
          <w:rFonts w:hint="default"/>
          <w:b w:val="0"/>
          <w:bCs w:val="0"/>
          <w:lang w:val="en-US" w:eastAsia="zh-CN"/>
        </w:rPr>
        <w:t>industry owing to its cost-effectiveness, low power</w:t>
      </w:r>
      <w:r>
        <w:rPr>
          <w:rFonts w:hint="eastAsia"/>
          <w:b w:val="0"/>
          <w:bCs w:val="0"/>
          <w:lang w:val="en-US" w:eastAsia="zh-CN"/>
        </w:rPr>
        <w:t xml:space="preserve"> </w:t>
      </w:r>
      <w:r>
        <w:rPr>
          <w:rFonts w:hint="default"/>
          <w:b w:val="0"/>
          <w:bCs w:val="0"/>
          <w:lang w:val="en-US" w:eastAsia="zh-CN"/>
        </w:rPr>
        <w:t xml:space="preserve">consumption, and straightforward deployment. </w:t>
      </w:r>
    </w:p>
    <w:p w14:paraId="6FDFFEBB">
      <w:pPr>
        <w:numPr>
          <w:ilvl w:val="0"/>
          <w:numId w:val="0"/>
        </w:numPr>
        <w:tabs>
          <w:tab w:val="left" w:pos="2127"/>
        </w:tabs>
        <w:spacing w:after="0"/>
        <w:jc w:val="both"/>
        <w:rPr>
          <w:rFonts w:hint="default"/>
          <w:b w:val="0"/>
          <w:bCs w:val="0"/>
          <w:lang w:val="en-US" w:eastAsia="zh-CN"/>
        </w:rPr>
      </w:pPr>
    </w:p>
    <w:p w14:paraId="1678965A">
      <w:pPr>
        <w:numPr>
          <w:ilvl w:val="0"/>
          <w:numId w:val="0"/>
        </w:numPr>
        <w:tabs>
          <w:tab w:val="left" w:pos="2127"/>
        </w:tabs>
        <w:spacing w:after="0"/>
        <w:jc w:val="center"/>
      </w:pPr>
      <w:r>
        <w:drawing>
          <wp:inline distT="0" distB="0" distL="114300" distR="114300">
            <wp:extent cx="3767455" cy="2160270"/>
            <wp:effectExtent l="0" t="0" r="4445" b="1143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4"/>
                    <a:stretch>
                      <a:fillRect/>
                    </a:stretch>
                  </pic:blipFill>
                  <pic:spPr>
                    <a:xfrm>
                      <a:off x="0" y="0"/>
                      <a:ext cx="3767455" cy="2160270"/>
                    </a:xfrm>
                    <a:prstGeom prst="rect">
                      <a:avLst/>
                    </a:prstGeom>
                    <a:noFill/>
                    <a:ln>
                      <a:noFill/>
                    </a:ln>
                  </pic:spPr>
                </pic:pic>
              </a:graphicData>
            </a:graphic>
          </wp:inline>
        </w:drawing>
      </w:r>
    </w:p>
    <w:p w14:paraId="092C815F">
      <w:pPr>
        <w:tabs>
          <w:tab w:val="left" w:pos="2127"/>
        </w:tabs>
        <w:spacing w:after="0"/>
        <w:jc w:val="center"/>
        <w:rPr>
          <w:rFonts w:hint="default"/>
          <w:lang w:val="en-US" w:eastAsia="zh-CN"/>
        </w:rPr>
      </w:pPr>
      <w:r>
        <w:rPr>
          <w:rFonts w:hint="eastAsia"/>
          <w:lang w:val="en-US" w:eastAsia="zh-CN"/>
        </w:rPr>
        <w:t>Figure 2.2.6-1. The illustration of network controlled RIS</w:t>
      </w:r>
    </w:p>
    <w:p w14:paraId="771DF7A2">
      <w:pPr>
        <w:numPr>
          <w:ilvl w:val="0"/>
          <w:numId w:val="0"/>
        </w:numPr>
        <w:tabs>
          <w:tab w:val="left" w:pos="2127"/>
        </w:tabs>
        <w:spacing w:after="0"/>
        <w:jc w:val="center"/>
      </w:pPr>
    </w:p>
    <w:p w14:paraId="6D88AF5D">
      <w:pPr>
        <w:numPr>
          <w:ilvl w:val="0"/>
          <w:numId w:val="0"/>
        </w:numPr>
        <w:tabs>
          <w:tab w:val="left" w:pos="2127"/>
        </w:tabs>
        <w:spacing w:after="0"/>
        <w:jc w:val="center"/>
      </w:pPr>
      <w:r>
        <w:drawing>
          <wp:inline distT="0" distB="0" distL="114300" distR="114300">
            <wp:extent cx="4030345" cy="2160270"/>
            <wp:effectExtent l="0" t="0" r="8255" b="1143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5"/>
                    <a:stretch>
                      <a:fillRect/>
                    </a:stretch>
                  </pic:blipFill>
                  <pic:spPr>
                    <a:xfrm>
                      <a:off x="0" y="0"/>
                      <a:ext cx="4030345" cy="2160270"/>
                    </a:xfrm>
                    <a:prstGeom prst="rect">
                      <a:avLst/>
                    </a:prstGeom>
                    <a:noFill/>
                    <a:ln>
                      <a:noFill/>
                    </a:ln>
                  </pic:spPr>
                </pic:pic>
              </a:graphicData>
            </a:graphic>
          </wp:inline>
        </w:drawing>
      </w:r>
    </w:p>
    <w:p w14:paraId="2C301945">
      <w:pPr>
        <w:tabs>
          <w:tab w:val="left" w:pos="2127"/>
        </w:tabs>
        <w:spacing w:after="0"/>
        <w:jc w:val="center"/>
        <w:rPr>
          <w:rFonts w:hint="eastAsia"/>
          <w:lang w:val="en-US" w:eastAsia="zh-CN"/>
        </w:rPr>
      </w:pPr>
      <w:r>
        <w:rPr>
          <w:rFonts w:hint="eastAsia"/>
          <w:lang w:val="en-US" w:eastAsia="zh-CN"/>
        </w:rPr>
        <w:t>Figure 2.2.6-2. The illustration of standalone RIS</w:t>
      </w:r>
    </w:p>
    <w:p w14:paraId="62F02E93">
      <w:pPr>
        <w:tabs>
          <w:tab w:val="left" w:pos="2127"/>
        </w:tabs>
        <w:spacing w:after="0"/>
        <w:jc w:val="left"/>
        <w:rPr>
          <w:rFonts w:hint="default"/>
          <w:b w:val="0"/>
          <w:bCs w:val="0"/>
          <w:lang w:val="en-US" w:eastAsia="zh-CN"/>
        </w:rPr>
      </w:pPr>
      <w:r>
        <w:rPr>
          <w:rFonts w:hint="eastAsia"/>
          <w:b/>
          <w:bCs/>
          <w:lang w:val="en-US" w:eastAsia="zh-CN"/>
        </w:rPr>
        <w:t>Proposal 9:</w:t>
      </w:r>
      <w:r>
        <w:rPr>
          <w:rFonts w:hint="eastAsia"/>
          <w:lang w:val="en-US" w:eastAsia="zh-CN"/>
        </w:rPr>
        <w:t xml:space="preserve"> for the efficient coverage extension, propose to consider the RIS deployment in 6G day1.</w:t>
      </w:r>
    </w:p>
    <w:p w14:paraId="67C80956">
      <w:pPr>
        <w:numPr>
          <w:ilvl w:val="0"/>
          <w:numId w:val="0"/>
        </w:numPr>
        <w:tabs>
          <w:tab w:val="left" w:pos="2127"/>
        </w:tabs>
        <w:spacing w:after="0"/>
        <w:jc w:val="both"/>
        <w:rPr>
          <w:rFonts w:hint="default"/>
          <w:lang w:val="en-US" w:eastAsia="zh-CN"/>
        </w:rPr>
      </w:pPr>
    </w:p>
    <w:p w14:paraId="3FFB06A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2.2.7. </w:t>
      </w:r>
      <w:r>
        <w:rPr>
          <w:rFonts w:hint="eastAsia"/>
          <w:lang w:val="en-US" w:eastAsia="zh-CN"/>
        </w:rPr>
        <w:t>Integrated Sensing and Communication (</w:t>
      </w:r>
      <w:r>
        <w:rPr>
          <w:rFonts w:hint="eastAsia"/>
          <w:b w:val="0"/>
          <w:bCs w:val="0"/>
          <w:lang w:val="en-US" w:eastAsia="zh-CN"/>
        </w:rPr>
        <w:t xml:space="preserve">ISAC) </w:t>
      </w:r>
    </w:p>
    <w:p w14:paraId="065434C4">
      <w:pPr>
        <w:tabs>
          <w:tab w:val="left" w:pos="2127"/>
        </w:tabs>
        <w:spacing w:after="0"/>
        <w:rPr>
          <w:rFonts w:hint="default"/>
          <w:lang w:val="en-US" w:eastAsia="zh-CN"/>
        </w:rPr>
      </w:pPr>
      <w:r>
        <w:rPr>
          <w:rFonts w:hint="eastAsia"/>
          <w:lang w:val="en-US" w:eastAsia="zh-CN"/>
        </w:rPr>
        <w:t>Integrated Sensing and Communication (ISAC)</w:t>
      </w:r>
      <w:r>
        <w:rPr>
          <w:rFonts w:hint="default"/>
          <w:lang w:val="en-US" w:eastAsia="zh-CN"/>
        </w:rPr>
        <w:t> is an emerging technology that seamlessly combines wireless communication and sensing functionalities into a unified system. By leveraging shared hardware, spectrum, and signal processing techniques, ISAC</w:t>
      </w:r>
      <w:r>
        <w:rPr>
          <w:rFonts w:hint="eastAsia"/>
          <w:lang w:val="en-US" w:eastAsia="zh-CN"/>
        </w:rPr>
        <w:t xml:space="preserve"> BS</w:t>
      </w:r>
      <w:r>
        <w:rPr>
          <w:rFonts w:hint="default"/>
          <w:lang w:val="en-US" w:eastAsia="zh-CN"/>
        </w:rPr>
        <w:t xml:space="preserve"> </w:t>
      </w:r>
      <w:r>
        <w:rPr>
          <w:rFonts w:hint="eastAsia"/>
          <w:lang w:val="en-US" w:eastAsia="zh-CN"/>
        </w:rPr>
        <w:t xml:space="preserve">shown in Figure 2.2.7-1 </w:t>
      </w:r>
      <w:r>
        <w:rPr>
          <w:rFonts w:hint="default"/>
          <w:lang w:val="en-US" w:eastAsia="zh-CN"/>
        </w:rPr>
        <w:t>enables simultaneous data transmission</w:t>
      </w:r>
      <w:r>
        <w:rPr>
          <w:rFonts w:hint="eastAsia"/>
          <w:lang w:val="en-US" w:eastAsia="zh-CN"/>
        </w:rPr>
        <w:t>/reception</w:t>
      </w:r>
      <w:r>
        <w:rPr>
          <w:rFonts w:hint="default"/>
          <w:lang w:val="en-US" w:eastAsia="zh-CN"/>
        </w:rPr>
        <w:t xml:space="preserve"> and environmental sensing (e.g., object detection, localization, and motion tracking). This integration is particularly pivotal for next-generation networks like 5G-Advanced and 6G</w:t>
      </w:r>
      <w:r>
        <w:rPr>
          <w:rFonts w:hint="eastAsia"/>
          <w:lang w:val="en-US" w:eastAsia="zh-CN"/>
        </w:rPr>
        <w:t>.</w:t>
      </w:r>
    </w:p>
    <w:p w14:paraId="1B12E745">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02350" cy="3855720"/>
            <wp:effectExtent l="0" t="0" r="0" b="1143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6"/>
                    <a:stretch>
                      <a:fillRect/>
                    </a:stretch>
                  </pic:blipFill>
                  <pic:spPr>
                    <a:xfrm>
                      <a:off x="0" y="0"/>
                      <a:ext cx="6102350" cy="3855720"/>
                    </a:xfrm>
                    <a:prstGeom prst="rect">
                      <a:avLst/>
                    </a:prstGeom>
                    <a:noFill/>
                    <a:ln w="9525">
                      <a:noFill/>
                    </a:ln>
                  </pic:spPr>
                </pic:pic>
              </a:graphicData>
            </a:graphic>
          </wp:inline>
        </w:drawing>
      </w:r>
    </w:p>
    <w:p w14:paraId="2AF23560">
      <w:pPr>
        <w:tabs>
          <w:tab w:val="left" w:pos="2127"/>
        </w:tabs>
        <w:spacing w:after="0"/>
        <w:jc w:val="center"/>
        <w:rPr>
          <w:rFonts w:hint="eastAsia"/>
          <w:lang w:val="en-US" w:eastAsia="zh-CN"/>
        </w:rPr>
      </w:pPr>
      <w:r>
        <w:rPr>
          <w:rFonts w:hint="eastAsia"/>
          <w:lang w:val="en-US" w:eastAsia="zh-CN"/>
        </w:rPr>
        <w:t>Figure 2.2.7-1. The illustration of ISAC BS type</w:t>
      </w:r>
    </w:p>
    <w:p w14:paraId="350D473F">
      <w:pPr>
        <w:tabs>
          <w:tab w:val="left" w:pos="2127"/>
        </w:tabs>
        <w:spacing w:after="0"/>
        <w:jc w:val="left"/>
        <w:rPr>
          <w:rFonts w:hint="default"/>
          <w:b w:val="0"/>
          <w:bCs w:val="0"/>
          <w:lang w:val="en-US" w:eastAsia="zh-CN"/>
        </w:rPr>
      </w:pPr>
      <w:r>
        <w:rPr>
          <w:rFonts w:hint="eastAsia"/>
          <w:b/>
          <w:bCs/>
          <w:lang w:val="en-US" w:eastAsia="zh-CN"/>
        </w:rPr>
        <w:t>Proposal 10:</w:t>
      </w:r>
      <w:r>
        <w:rPr>
          <w:rFonts w:hint="eastAsia"/>
          <w:lang w:val="en-US" w:eastAsia="zh-CN"/>
        </w:rPr>
        <w:t xml:space="preserve"> for the sensing technology, propose to consider the 6G ISAC BS in 6G day1 at least.</w:t>
      </w:r>
    </w:p>
    <w:p w14:paraId="64A27975">
      <w:pPr>
        <w:tabs>
          <w:tab w:val="left" w:pos="2127"/>
        </w:tabs>
        <w:spacing w:after="0"/>
        <w:jc w:val="center"/>
        <w:rPr>
          <w:rFonts w:hint="default"/>
          <w:lang w:val="en-US" w:eastAsia="zh-CN"/>
        </w:rPr>
      </w:pPr>
    </w:p>
    <w:p w14:paraId="6D78BFB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w:t>
      </w:r>
      <w:r>
        <w:rPr>
          <w:rFonts w:hint="eastAsia" w:ascii="Arial" w:hAnsi="Arial" w:cs="Arial"/>
          <w:lang w:val="en-US" w:eastAsia="zh-CN"/>
        </w:rPr>
        <w:t>3.</w:t>
      </w:r>
      <w:r>
        <w:rPr>
          <w:rFonts w:hint="default" w:ascii="Arial" w:hAnsi="Arial" w:cs="Arial"/>
          <w:lang w:val="en-US" w:eastAsia="zh-CN"/>
        </w:rPr>
        <w:t xml:space="preserve"> </w:t>
      </w:r>
      <w:r>
        <w:rPr>
          <w:rFonts w:hint="eastAsia" w:ascii="Arial" w:hAnsi="Arial" w:cs="Arial"/>
          <w:lang w:val="en-US" w:eastAsia="zh-CN"/>
        </w:rPr>
        <w:t xml:space="preserve">Improvement for the RF requirement of 6GR </w:t>
      </w:r>
    </w:p>
    <w:p w14:paraId="5D0FC3D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2.3.1. EVM requirement </w:t>
      </w:r>
    </w:p>
    <w:p w14:paraId="4DBA50C5">
      <w:pPr>
        <w:tabs>
          <w:tab w:val="left" w:pos="2127"/>
        </w:tabs>
        <w:spacing w:after="0"/>
        <w:jc w:val="left"/>
        <w:rPr>
          <w:rFonts w:hint="default"/>
          <w:lang w:val="en-US" w:eastAsia="zh-CN"/>
        </w:rPr>
      </w:pPr>
      <w:r>
        <w:rPr>
          <w:rFonts w:hint="eastAsia"/>
          <w:lang w:val="en-US" w:eastAsia="zh-CN"/>
        </w:rPr>
        <w:t>As shown in the following agreement, during the last RAN1#122 meeting, RAN1 has already agreed to use the 5G modulation order as basis and further discuss other enhancement and modulation orders. In general, we could apply the EVM requirement of 5G BS as starting point and further discuss the potential EVM requirement within 7-24GHz.</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6F38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B624C99">
            <w:pPr>
              <w:keepNext w:val="0"/>
              <w:keepLines w:val="0"/>
              <w:suppressLineNumbers w:val="0"/>
              <w:spacing w:before="0" w:beforeAutospacing="0" w:afterAutospacing="0"/>
              <w:ind w:left="0" w:right="0"/>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 RAN1_122 meeting</w:t>
            </w:r>
          </w:p>
          <w:p w14:paraId="35EB399D">
            <w:pPr>
              <w:keepNext w:val="0"/>
              <w:keepLines w:val="0"/>
              <w:numPr>
                <w:ilvl w:val="0"/>
                <w:numId w:val="7"/>
              </w:numPr>
              <w:suppressLineNumbers w:val="0"/>
              <w:spacing w:before="0" w:beforeAutospacing="0" w:afterAutospacing="0"/>
              <w:ind w:right="0"/>
              <w:rPr>
                <w:rFonts w:hint="default"/>
              </w:rPr>
            </w:pPr>
            <w:r>
              <w:rPr>
                <w:rFonts w:hint="default"/>
              </w:rPr>
              <w:t>For 6GR DL, 5G NR uniform QPSK, 16QAM, 64QAM, 256QAM and 1024QAM are supported as basis for study for data channel</w:t>
            </w:r>
          </w:p>
          <w:p w14:paraId="0E1B13DE">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3EE88039">
            <w:pPr>
              <w:keepNext w:val="0"/>
              <w:keepLines w:val="0"/>
              <w:numPr>
                <w:ilvl w:val="0"/>
                <w:numId w:val="7"/>
              </w:numPr>
              <w:suppressLineNumbers w:val="0"/>
              <w:spacing w:before="0" w:beforeAutospacing="0" w:afterAutospacing="0"/>
              <w:ind w:right="0"/>
              <w:rPr>
                <w:rFonts w:hint="default"/>
              </w:rPr>
            </w:pPr>
            <w:r>
              <w:rPr>
                <w:rFonts w:hint="default"/>
              </w:rPr>
              <w:t>For 6GR UL, 5G NR uniform QPSK, 16QAM, 64QAM, and 256QAM are supported as basis for study for CP-OFDM for data channel</w:t>
            </w:r>
          </w:p>
          <w:p w14:paraId="1B42CC0F">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785ECCBB">
            <w:pPr>
              <w:keepNext w:val="0"/>
              <w:keepLines w:val="0"/>
              <w:numPr>
                <w:ilvl w:val="0"/>
                <w:numId w:val="7"/>
              </w:numPr>
              <w:suppressLineNumbers w:val="0"/>
              <w:spacing w:before="0" w:beforeAutospacing="0" w:afterAutospacing="0"/>
              <w:ind w:right="0"/>
              <w:rPr>
                <w:rFonts w:hint="default"/>
              </w:rPr>
            </w:pPr>
            <w:r>
              <w:rPr>
                <w:rFonts w:hint="default"/>
              </w:rPr>
              <w:t>For 6GR UL, 5G NR pi/2 BPSK, uniform QPSK, 16QAM, 64QAM, and 256QAM are supported as basis for study for DFT-s-OFDM for data channel</w:t>
            </w:r>
          </w:p>
          <w:p w14:paraId="0B25602B">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vertAlign w:val="baseline"/>
                <w:lang w:val="en-US" w:eastAsia="zh-CN"/>
              </w:rPr>
            </w:pPr>
            <w:r>
              <w:rPr>
                <w:rFonts w:hint="default"/>
              </w:rPr>
              <w:t>FFS: Enhancements and other modulation schemes</w:t>
            </w:r>
          </w:p>
        </w:tc>
      </w:tr>
    </w:tbl>
    <w:p w14:paraId="5256B1C6">
      <w:pPr>
        <w:tabs>
          <w:tab w:val="left" w:pos="2127"/>
        </w:tabs>
        <w:spacing w:after="0"/>
        <w:jc w:val="left"/>
        <w:rPr>
          <w:rFonts w:hint="eastAsia"/>
          <w:lang w:val="en-US" w:eastAsia="zh-CN"/>
        </w:rPr>
      </w:pPr>
      <w:r>
        <w:rPr>
          <w:rFonts w:hint="eastAsia"/>
          <w:b/>
          <w:bCs/>
          <w:lang w:val="en-US" w:eastAsia="zh-CN"/>
        </w:rPr>
        <w:t>Proposal 11</w:t>
      </w:r>
      <w:r>
        <w:rPr>
          <w:rFonts w:hint="eastAsia"/>
          <w:lang w:val="en-US" w:eastAsia="zh-CN"/>
        </w:rPr>
        <w:t>: for minimum EVM requirement of existing 5G modulation order of 6GR, propose to apply the 5G BS EVM requirement as starting point for 6GR BS.</w:t>
      </w:r>
    </w:p>
    <w:p w14:paraId="56CFE4FC">
      <w:pPr>
        <w:tabs>
          <w:tab w:val="left" w:pos="2127"/>
        </w:tabs>
        <w:spacing w:after="0"/>
        <w:jc w:val="left"/>
        <w:rPr>
          <w:rFonts w:hint="eastAsia"/>
          <w:lang w:val="en-US" w:eastAsia="zh-CN"/>
        </w:rPr>
      </w:pPr>
    </w:p>
    <w:p w14:paraId="428E0498">
      <w:pPr>
        <w:tabs>
          <w:tab w:val="left" w:pos="2127"/>
        </w:tabs>
        <w:spacing w:after="0"/>
        <w:jc w:val="left"/>
        <w:rPr>
          <w:rFonts w:hint="default"/>
          <w:lang w:val="en-US" w:eastAsia="zh-CN"/>
        </w:rPr>
      </w:pPr>
      <w:r>
        <w:rPr>
          <w:rFonts w:hint="eastAsia"/>
          <w:lang w:val="en-US" w:eastAsia="zh-CN"/>
        </w:rPr>
        <w:t xml:space="preserve">In addition, for the higher modulation order as shown in Figure 2.3.1-1 (e.g. 2048QAM or 4096QAM as used by the legacy microwave backhual transmission), the expected minimum EVM requirement for single layer transmission is presented in the following Table 2.3.1-1 which seems very challenging to meet this kind of stringent requirement with the current art of technology. If considering the multi-layer transmission for 2048QAM and 4096QAM, then the expected minimum EVM requirement would become even more stringent than the values in the following Table 2.3.1-1. In addition, considering the achievable SNR in filed, it seems also quite difficult to meet suck kind of SNR for correct demodulation from both intra-cell inter-user interference and inter-cell inter-user interference. The details could be further discussed and confirmed by the system level simulation results. </w:t>
      </w:r>
    </w:p>
    <w:p w14:paraId="4DE1C550">
      <w:pPr>
        <w:jc w:val="center"/>
        <w:rPr>
          <w:rFonts w:hint="default"/>
          <w:lang w:val="en-US" w:eastAsia="zh-CN"/>
        </w:rPr>
      </w:pPr>
      <w:r>
        <w:rPr>
          <w:rFonts w:hint="eastAsia"/>
          <w:lang w:val="en-US" w:eastAsia="zh-CN"/>
        </w:rPr>
        <w:t>Figure 2.3.1-1. the potential EVM requirement for higher modulation order than 5G NR</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2835"/>
        <w:gridCol w:w="2835"/>
      </w:tblGrid>
      <w:tr w14:paraId="49DD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35" w:type="dxa"/>
          </w:tcPr>
          <w:p w14:paraId="48821942">
            <w:pPr>
              <w:keepNext w:val="0"/>
              <w:keepLines w:val="0"/>
              <w:suppressLineNumbers w:val="0"/>
              <w:spacing w:before="0" w:beforeAutospacing="0" w:afterAutospacing="0"/>
              <w:ind w:left="0" w:right="0"/>
              <w:jc w:val="center"/>
              <w:rPr>
                <w:rFonts w:hint="default" w:eastAsia="宋体"/>
                <w:vertAlign w:val="baseline"/>
                <w:lang w:val="en-US" w:eastAsia="zh-CN"/>
              </w:rPr>
            </w:pPr>
            <w:r>
              <w:rPr>
                <w:rFonts w:hint="eastAsia" w:eastAsia="宋体"/>
                <w:vertAlign w:val="baseline"/>
                <w:lang w:val="en-US" w:eastAsia="zh-CN"/>
              </w:rPr>
              <w:t>Modulation order</w:t>
            </w:r>
          </w:p>
        </w:tc>
        <w:tc>
          <w:tcPr>
            <w:tcW w:w="2835" w:type="dxa"/>
          </w:tcPr>
          <w:p w14:paraId="705D7A8F">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 xml:space="preserve">EVM </w:t>
            </w:r>
          </w:p>
        </w:tc>
        <w:tc>
          <w:tcPr>
            <w:tcW w:w="2835" w:type="dxa"/>
          </w:tcPr>
          <w:p w14:paraId="673DD6C7">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SNR(dB)</w:t>
            </w:r>
          </w:p>
        </w:tc>
      </w:tr>
      <w:tr w14:paraId="685C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14:paraId="63E12CD2">
            <w:pPr>
              <w:pStyle w:val="39"/>
              <w:suppressLineNumbers w:val="0"/>
              <w:spacing w:before="0" w:beforeAutospacing="0" w:afterAutospacing="0"/>
              <w:ind w:left="0" w:right="0"/>
              <w:rPr>
                <w:rFonts w:hint="default" w:cs="Arial"/>
                <w:lang w:val="en-US" w:eastAsia="zh-CN"/>
              </w:rPr>
            </w:pPr>
            <w:r>
              <w:rPr>
                <w:rFonts w:hint="eastAsia" w:cs="Arial"/>
                <w:lang w:val="en-US" w:eastAsia="zh-CN"/>
              </w:rPr>
              <w:t>4096QAM</w:t>
            </w:r>
          </w:p>
        </w:tc>
        <w:tc>
          <w:tcPr>
            <w:tcW w:w="2835" w:type="dxa"/>
            <w:vAlign w:val="bottom"/>
          </w:tcPr>
          <w:p w14:paraId="50BE4AC9">
            <w:pPr>
              <w:pStyle w:val="39"/>
              <w:suppressLineNumbers w:val="0"/>
              <w:spacing w:before="0" w:beforeAutospacing="0" w:afterAutospacing="0"/>
              <w:ind w:left="0" w:right="0"/>
              <w:rPr>
                <w:rFonts w:hint="default" w:cs="Arial"/>
                <w:lang w:val="en-US" w:eastAsia="zh-CN"/>
              </w:rPr>
            </w:pPr>
            <w:r>
              <w:rPr>
                <w:rFonts w:hint="eastAsia" w:cs="Arial"/>
                <w:lang w:val="en-US" w:eastAsia="zh-CN"/>
              </w:rPr>
              <w:t xml:space="preserve">0.89 </w:t>
            </w:r>
            <w:r>
              <w:rPr>
                <w:rFonts w:hint="eastAsia"/>
                <w:vertAlign w:val="baseline"/>
                <w:lang w:val="en-US" w:eastAsia="zh-CN"/>
              </w:rPr>
              <w:t>%</w:t>
            </w:r>
          </w:p>
        </w:tc>
        <w:tc>
          <w:tcPr>
            <w:tcW w:w="2835" w:type="dxa"/>
            <w:vAlign w:val="bottom"/>
          </w:tcPr>
          <w:p w14:paraId="6076039F">
            <w:pPr>
              <w:pStyle w:val="39"/>
              <w:suppressLineNumbers w:val="0"/>
              <w:spacing w:before="0" w:beforeAutospacing="0" w:afterAutospacing="0"/>
              <w:ind w:left="0" w:right="0"/>
              <w:rPr>
                <w:rFonts w:hint="default" w:cs="Arial"/>
                <w:lang w:val="en-US" w:eastAsia="zh-CN"/>
              </w:rPr>
            </w:pPr>
            <w:r>
              <w:rPr>
                <w:rFonts w:hint="eastAsia" w:cs="Arial"/>
                <w:lang w:val="en-US" w:eastAsia="zh-CN"/>
              </w:rPr>
              <w:t>41.0122</w:t>
            </w:r>
          </w:p>
        </w:tc>
      </w:tr>
      <w:tr w14:paraId="7FBF2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14:paraId="6DBA1CD9">
            <w:pPr>
              <w:pStyle w:val="39"/>
              <w:suppressLineNumbers w:val="0"/>
              <w:spacing w:before="0" w:beforeAutospacing="0" w:afterAutospacing="0"/>
              <w:ind w:left="0" w:right="0"/>
              <w:rPr>
                <w:rFonts w:hint="eastAsia" w:cs="Arial"/>
                <w:lang w:val="en-US" w:eastAsia="zh-CN"/>
              </w:rPr>
            </w:pPr>
            <w:r>
              <w:rPr>
                <w:rFonts w:hint="eastAsia" w:cs="Arial"/>
                <w:lang w:val="en-US" w:eastAsia="zh-CN"/>
              </w:rPr>
              <w:t>2048QAM</w:t>
            </w:r>
          </w:p>
        </w:tc>
        <w:tc>
          <w:tcPr>
            <w:tcW w:w="2835" w:type="dxa"/>
            <w:vAlign w:val="bottom"/>
          </w:tcPr>
          <w:p w14:paraId="13909CD4">
            <w:pPr>
              <w:pStyle w:val="39"/>
              <w:suppressLineNumbers w:val="0"/>
              <w:spacing w:before="0" w:beforeAutospacing="0" w:afterAutospacing="0"/>
              <w:ind w:left="0" w:right="0"/>
              <w:rPr>
                <w:rFonts w:hint="default" w:cs="Arial"/>
                <w:lang w:val="en-US" w:eastAsia="zh-CN"/>
              </w:rPr>
            </w:pPr>
            <w:r>
              <w:rPr>
                <w:rFonts w:hint="eastAsia" w:cs="Arial"/>
                <w:lang w:val="en-US" w:eastAsia="zh-CN"/>
              </w:rPr>
              <w:t xml:space="preserve">1.41 </w:t>
            </w:r>
            <w:r>
              <w:rPr>
                <w:rFonts w:hint="eastAsia"/>
                <w:vertAlign w:val="baseline"/>
                <w:lang w:val="en-US" w:eastAsia="zh-CN"/>
              </w:rPr>
              <w:t>%</w:t>
            </w:r>
          </w:p>
        </w:tc>
        <w:tc>
          <w:tcPr>
            <w:tcW w:w="2835" w:type="dxa"/>
            <w:vAlign w:val="bottom"/>
          </w:tcPr>
          <w:p w14:paraId="1CE60C4B">
            <w:pPr>
              <w:pStyle w:val="39"/>
              <w:suppressLineNumbers w:val="0"/>
              <w:spacing w:before="0" w:beforeAutospacing="0" w:afterAutospacing="0"/>
              <w:ind w:left="0" w:right="0"/>
              <w:rPr>
                <w:rFonts w:hint="eastAsia" w:cs="Arial"/>
                <w:lang w:val="en-US" w:eastAsia="zh-CN"/>
              </w:rPr>
            </w:pPr>
            <w:r>
              <w:rPr>
                <w:rFonts w:hint="eastAsia" w:cs="Arial"/>
                <w:lang w:val="en-US" w:eastAsia="zh-CN"/>
              </w:rPr>
              <w:t>37.0156</w:t>
            </w:r>
          </w:p>
        </w:tc>
      </w:tr>
    </w:tbl>
    <w:p w14:paraId="39B07C03">
      <w:pPr>
        <w:jc w:val="center"/>
      </w:pPr>
      <w:r>
        <w:drawing>
          <wp:inline distT="0" distB="0" distL="114300" distR="114300">
            <wp:extent cx="4271645" cy="2346960"/>
            <wp:effectExtent l="0" t="0" r="14605" b="1524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7"/>
                    <a:srcRect l="9887" t="3846" r="8585" b="6851"/>
                    <a:stretch>
                      <a:fillRect/>
                    </a:stretch>
                  </pic:blipFill>
                  <pic:spPr>
                    <a:xfrm>
                      <a:off x="0" y="0"/>
                      <a:ext cx="4271645" cy="2346960"/>
                    </a:xfrm>
                    <a:prstGeom prst="rect">
                      <a:avLst/>
                    </a:prstGeom>
                    <a:noFill/>
                    <a:ln>
                      <a:noFill/>
                    </a:ln>
                  </pic:spPr>
                </pic:pic>
              </a:graphicData>
            </a:graphic>
          </wp:inline>
        </w:drawing>
      </w:r>
    </w:p>
    <w:p w14:paraId="442FB147">
      <w:pPr>
        <w:jc w:val="center"/>
        <w:rPr>
          <w:rFonts w:hint="default"/>
          <w:lang w:val="en-US" w:eastAsia="zh-CN"/>
        </w:rPr>
      </w:pPr>
      <w:r>
        <w:rPr>
          <w:rFonts w:hint="eastAsia"/>
          <w:lang w:val="en-US" w:eastAsia="zh-CN"/>
        </w:rPr>
        <w:t>Figure 2.3.1-1. The illustration of 4096QAM constellation</w:t>
      </w:r>
    </w:p>
    <w:p w14:paraId="5035DB6F">
      <w:pPr>
        <w:tabs>
          <w:tab w:val="left" w:pos="2127"/>
        </w:tabs>
        <w:spacing w:after="0"/>
        <w:jc w:val="left"/>
        <w:rPr>
          <w:rFonts w:hint="eastAsia"/>
          <w:lang w:val="en-US" w:eastAsia="zh-CN"/>
        </w:rPr>
      </w:pPr>
      <w:r>
        <w:rPr>
          <w:rFonts w:hint="eastAsia"/>
          <w:lang w:val="en-US" w:eastAsia="zh-CN"/>
        </w:rPr>
        <w:t xml:space="preserve">Since the EVM requirement is extremely critical for the network performance/achievable peak data rate in field. In the past, BS EVM requirement is mainly evaluated under the assumption of SU-MIMO with the limited MIMO layers (up to 2/4 MIMO layers ), however this kind of evaluation assumption is not quite aligned for the scenarios with high traffic load in the commercial network. For the high traffic load case, usually MU-MIMO and CA must be considered to guarantee the network capacity. In short, in 6G phase, we propose to discuss the optimal EVM requirement in addition to the minimum EVM requirement at least to reflect the more realistic network operation including SU-MIMO and MU-MIMO case. </w:t>
      </w:r>
    </w:p>
    <w:p w14:paraId="625D034C">
      <w:pPr>
        <w:tabs>
          <w:tab w:val="left" w:pos="2127"/>
        </w:tabs>
        <w:spacing w:after="0"/>
        <w:jc w:val="left"/>
        <w:rPr>
          <w:rFonts w:hint="eastAsia"/>
          <w:lang w:val="en-US" w:eastAsia="zh-CN"/>
        </w:rPr>
      </w:pPr>
      <w:r>
        <w:rPr>
          <w:rFonts w:hint="eastAsia"/>
          <w:b/>
          <w:bCs/>
          <w:lang w:val="en-US" w:eastAsia="zh-CN"/>
        </w:rPr>
        <w:t>Proposal 12</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14:paraId="405FA10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 xml:space="preserve">2.3.2. Relaxed EVM for DL digital </w:t>
      </w:r>
      <w:r>
        <w:rPr>
          <w:rFonts w:hint="default"/>
          <w:b w:val="0"/>
          <w:bCs w:val="0"/>
          <w:lang w:val="en-US" w:eastAsia="zh-CN"/>
        </w:rPr>
        <w:t>Predistortion (DP</w:t>
      </w:r>
      <w:r>
        <w:rPr>
          <w:rFonts w:hint="eastAsia"/>
          <w:b w:val="0"/>
          <w:bCs w:val="0"/>
          <w:lang w:val="en-US" w:eastAsia="zh-CN"/>
        </w:rPr>
        <w:t>o</w:t>
      </w:r>
      <w:r>
        <w:rPr>
          <w:rFonts w:hint="default"/>
          <w:b w:val="0"/>
          <w:bCs w:val="0"/>
          <w:lang w:val="en-US" w:eastAsia="zh-CN"/>
        </w:rPr>
        <w:t>D)</w:t>
      </w:r>
    </w:p>
    <w:p w14:paraId="42E56505">
      <w:pPr>
        <w:spacing w:after="0"/>
        <w:jc w:val="left"/>
        <w:rPr>
          <w:rFonts w:hint="default" w:eastAsiaTheme="minorEastAsia"/>
          <w:lang w:val="en-US" w:eastAsia="zh-CN"/>
        </w:rPr>
      </w:pPr>
      <w:r>
        <w:rPr>
          <w:rFonts w:hint="eastAsia" w:eastAsiaTheme="minorEastAsia"/>
          <w:lang w:val="en-US" w:eastAsia="zh-CN"/>
        </w:rPr>
        <w:t xml:space="preserve">In the last RAN#109 meeting, it is indicated in the following NOTE[3] that 6G will firstly start the technical discussions on non-linearity modelling and other common part between 5G and 6G for the potential MPR reduction under the 6G agenda, the normative 5GA work will be further discussed after the completion of SI phase. From our understanding, DL DPoD is also useful to increasing the transmission power from BS DL (e.g. reduce the power backoff similar as MPR improvement). In addition, the relaxed EVM requirement from BS side would also help alleviate the implementation complexity and cost for pursuing the optimal EVM requirement e.g. 2.5/2.8% EVM requirement for DL 1024QAM.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552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550E38B">
            <w:pPr>
              <w:keepNext w:val="0"/>
              <w:keepLines w:val="0"/>
              <w:suppressLineNumbers w:val="0"/>
              <w:spacing w:before="0" w:beforeAutospacing="0" w:after="60" w:afterAutospacing="0"/>
              <w:ind w:left="0" w:right="0"/>
              <w:jc w:val="both"/>
              <w:rPr>
                <w:rFonts w:hint="default"/>
                <w:b/>
              </w:rPr>
            </w:pPr>
            <w:r>
              <w:rPr>
                <w:rFonts w:hint="default"/>
                <w:b/>
              </w:rPr>
              <w:t>Power enhancement with relaxed UE Tx EVM and advanced BS receiver</w:t>
            </w:r>
          </w:p>
          <w:p w14:paraId="3BC4CE4E">
            <w:pPr>
              <w:pStyle w:val="37"/>
              <w:keepNext w:val="0"/>
              <w:keepLines w:val="0"/>
              <w:numPr>
                <w:ilvl w:val="0"/>
                <w:numId w:val="8"/>
              </w:numPr>
              <w:suppressLineNumbers w:val="0"/>
              <w:spacing w:before="0" w:beforeAutospacing="0" w:afterAutospacing="0"/>
              <w:ind w:right="0" w:firstLineChars="0"/>
              <w:rPr>
                <w:rFonts w:hint="default" w:eastAsiaTheme="minorEastAsia"/>
                <w:vertAlign w:val="baseline"/>
                <w:lang w:val="en-US" w:eastAsia="zh-CN"/>
              </w:rPr>
            </w:pPr>
            <w:r>
              <w:rPr>
                <w:rFonts w:hint="default" w:ascii="Times New Roman" w:hAnsi="Times New Roman" w:cs="Times New Roman"/>
                <w:sz w:val="20"/>
                <w:szCs w:val="20"/>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tc>
      </w:tr>
    </w:tbl>
    <w:p w14:paraId="6741BD45">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116320" cy="1056005"/>
            <wp:effectExtent l="0" t="0" r="17780" b="11430"/>
            <wp:docPr id="13"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IMG_256"/>
                    <pic:cNvPicPr>
                      <a:picLocks noChangeAspect="1"/>
                    </pic:cNvPicPr>
                  </pic:nvPicPr>
                  <pic:blipFill>
                    <a:blip r:embed="rId18"/>
                    <a:stretch>
                      <a:fillRect/>
                    </a:stretch>
                  </pic:blipFill>
                  <pic:spPr>
                    <a:xfrm>
                      <a:off x="0" y="0"/>
                      <a:ext cx="6116320" cy="1056005"/>
                    </a:xfrm>
                    <a:prstGeom prst="rect">
                      <a:avLst/>
                    </a:prstGeom>
                    <a:noFill/>
                    <a:ln w="9525">
                      <a:noFill/>
                    </a:ln>
                  </pic:spPr>
                </pic:pic>
              </a:graphicData>
            </a:graphic>
          </wp:inline>
        </w:drawing>
      </w:r>
    </w:p>
    <w:p w14:paraId="47AFA9F3">
      <w:pPr>
        <w:pStyle w:val="37"/>
        <w:numPr>
          <w:ilvl w:val="0"/>
          <w:numId w:val="0"/>
        </w:numPr>
        <w:jc w:val="center"/>
        <w:rPr>
          <w:rFonts w:hint="default"/>
          <w:highlight w:val="none"/>
          <w:lang w:val="en-US" w:eastAsia="zh-CN"/>
        </w:rPr>
      </w:pPr>
      <w:r>
        <w:rPr>
          <w:rFonts w:hint="eastAsia"/>
          <w:highlight w:val="none"/>
          <w:lang w:val="en-US" w:eastAsia="zh-CN"/>
        </w:rPr>
        <w:t>Figure 2.3.2-1. The illustration of potential solution for DL digital predistortion (AI or non-AI based DPoD compensation at UE side)</w:t>
      </w:r>
    </w:p>
    <w:p w14:paraId="6EFBA731">
      <w:pPr>
        <w:tabs>
          <w:tab w:val="left" w:pos="2127"/>
        </w:tabs>
        <w:spacing w:after="0"/>
        <w:jc w:val="left"/>
        <w:rPr>
          <w:rFonts w:hint="default"/>
          <w:lang w:val="en-US" w:eastAsia="zh-CN"/>
        </w:rPr>
      </w:pPr>
      <w:r>
        <w:rPr>
          <w:rFonts w:hint="eastAsia"/>
          <w:b/>
          <w:bCs/>
          <w:lang w:val="en-US" w:eastAsia="zh-CN"/>
        </w:rPr>
        <w:t>Proposal 13</w:t>
      </w:r>
      <w:r>
        <w:rPr>
          <w:rFonts w:hint="eastAsia"/>
          <w:lang w:val="en-US" w:eastAsia="zh-CN"/>
        </w:rPr>
        <w:t xml:space="preserve">: for the relaxed EVM requirement for 6GR BS, propose to consider the </w:t>
      </w:r>
      <w:r>
        <w:rPr>
          <w:rFonts w:hint="eastAsia"/>
          <w:highlight w:val="none"/>
          <w:lang w:val="en-US" w:eastAsia="zh-CN"/>
        </w:rPr>
        <w:t>AI or non-AI based DPoD compensation at UE side to improve the DL coverage.</w:t>
      </w:r>
    </w:p>
    <w:p w14:paraId="6DB5ED2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2.3.3. TAE requirement</w:t>
      </w:r>
    </w:p>
    <w:p w14:paraId="6A1A4064">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In the following Table 2.3.3-1, we summarized the background information how the NR TAE requirement was defined in the past and how these requirement have the impacts on the following release discussions (e.g. NES, fragment DL carriers, FR2 CBM/IBM, spectrum aggregated positioning).</w:t>
      </w:r>
    </w:p>
    <w:p w14:paraId="76CB0F11">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2.3.3-1. the summary of NR TAE requirement for FR1and FR2-1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944"/>
        <w:gridCol w:w="718"/>
        <w:gridCol w:w="6487"/>
      </w:tblGrid>
      <w:tr w14:paraId="4323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BEBEBE" w:themeFill="background1" w:themeFillShade="BF"/>
          </w:tcPr>
          <w:p w14:paraId="5369A613">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Freq range</w:t>
            </w:r>
          </w:p>
        </w:tc>
        <w:tc>
          <w:tcPr>
            <w:tcW w:w="0" w:type="auto"/>
            <w:shd w:val="clear" w:color="auto" w:fill="BEBEBE" w:themeFill="background1" w:themeFillShade="BF"/>
          </w:tcPr>
          <w:p w14:paraId="01A1D5D5">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MIMO and CA use case</w:t>
            </w:r>
          </w:p>
        </w:tc>
        <w:tc>
          <w:tcPr>
            <w:tcW w:w="0" w:type="auto"/>
            <w:shd w:val="clear" w:color="auto" w:fill="BEBEBE" w:themeFill="background1" w:themeFillShade="BF"/>
          </w:tcPr>
          <w:p w14:paraId="6371D409">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TAE</w:t>
            </w:r>
          </w:p>
        </w:tc>
        <w:tc>
          <w:tcPr>
            <w:tcW w:w="0" w:type="auto"/>
            <w:shd w:val="clear" w:color="auto" w:fill="BEBEBE" w:themeFill="background1" w:themeFillShade="BF"/>
          </w:tcPr>
          <w:p w14:paraId="23A91B58">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Remark</w:t>
            </w:r>
          </w:p>
        </w:tc>
      </w:tr>
      <w:tr w14:paraId="3B9D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1325A9BE">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FR1</w:t>
            </w:r>
          </w:p>
        </w:tc>
        <w:tc>
          <w:tcPr>
            <w:tcW w:w="0" w:type="auto"/>
          </w:tcPr>
          <w:p w14:paraId="046E0040">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MIMO transmission</w:t>
            </w:r>
          </w:p>
        </w:tc>
        <w:tc>
          <w:tcPr>
            <w:tcW w:w="0" w:type="auto"/>
          </w:tcPr>
          <w:p w14:paraId="4DD9D59B">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65ns</w:t>
            </w:r>
          </w:p>
        </w:tc>
        <w:tc>
          <w:tcPr>
            <w:tcW w:w="0" w:type="auto"/>
          </w:tcPr>
          <w:p w14:paraId="21A006A2">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requirement is inherited from UTRA as 1/4 chip duration of 3.84MHz UTRA FDD system;</w:t>
            </w:r>
          </w:p>
        </w:tc>
      </w:tr>
      <w:tr w14:paraId="7157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5FB2B53">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14:paraId="0E744AEB">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contiguous carrier aggregation</w:t>
            </w:r>
          </w:p>
        </w:tc>
        <w:tc>
          <w:tcPr>
            <w:tcW w:w="0" w:type="auto"/>
          </w:tcPr>
          <w:p w14:paraId="1CA044C8">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14:paraId="32E823C1">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assumption of single RF reception and single FFT operation, therefore this 260ns requirement is sufficient to support the orthogonality between these carriers, however this is not sufficient for spectrum aggregated based positioning as discussed in the previous release.</w:t>
            </w:r>
          </w:p>
        </w:tc>
      </w:tr>
      <w:tr w14:paraId="7718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428E25EA">
            <w:pPr>
              <w:keepNext w:val="0"/>
              <w:keepLines w:val="0"/>
              <w:suppressLineNumbers w:val="0"/>
              <w:spacing w:before="0" w:beforeAutospacing="0" w:afterAutospacing="0"/>
              <w:ind w:left="0" w:right="0"/>
              <w:jc w:val="center"/>
              <w:rPr>
                <w:rFonts w:hint="default"/>
                <w:vertAlign w:val="baseline"/>
                <w:lang w:val="en-US" w:eastAsia="zh-CN"/>
              </w:rPr>
            </w:pPr>
          </w:p>
        </w:tc>
        <w:tc>
          <w:tcPr>
            <w:tcW w:w="0" w:type="auto"/>
          </w:tcPr>
          <w:p w14:paraId="4D44E99A">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non-contiguous carrier aggregation</w:t>
            </w:r>
          </w:p>
        </w:tc>
        <w:tc>
          <w:tcPr>
            <w:tcW w:w="0" w:type="auto"/>
          </w:tcPr>
          <w:p w14:paraId="6A366754">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0F0EC6B5">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originally based on the assumption of individual RF chain reception for inter-band CA case.</w:t>
            </w:r>
          </w:p>
          <w:p w14:paraId="4A3333DF">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In the Rel-19, fragmented DL carrier with the shared RF chain for FR1 FDD bands, 3us is still less than CP 4.71us of 15kHz SCS. </w:t>
            </w:r>
          </w:p>
          <w:p w14:paraId="339BC6DF">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For FR1 high TDD bands with SCS as 30kHz, then the CP of SCS of target Scell if NES with SSB less operation (this has not been supported yet in 5G-A is supported ) is expected to be 2.35us which is less than the existing 3us.</w:t>
            </w:r>
          </w:p>
        </w:tc>
      </w:tr>
      <w:tr w14:paraId="1302F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A4E0A5B">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14:paraId="2DCA86B2">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inter-band carrier aggregation</w:t>
            </w:r>
          </w:p>
        </w:tc>
        <w:tc>
          <w:tcPr>
            <w:tcW w:w="0" w:type="auto"/>
          </w:tcPr>
          <w:p w14:paraId="3A896D74">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453517B8">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based on the assumption of individual RF chain reception for inter-band CA case.</w:t>
            </w:r>
          </w:p>
          <w:p w14:paraId="7ED7B129">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In Rel-18, NES with SSB less operation is based on the assumption that BS TAE requirement is less that corresponding CP of SCS of target Scell.</w:t>
            </w:r>
          </w:p>
        </w:tc>
      </w:tr>
      <w:tr w14:paraId="290A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34EC4269">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FR2-1</w:t>
            </w:r>
          </w:p>
        </w:tc>
        <w:tc>
          <w:tcPr>
            <w:tcW w:w="0" w:type="auto"/>
            <w:shd w:val="clear" w:color="auto" w:fill="auto"/>
            <w:vAlign w:val="top"/>
          </w:tcPr>
          <w:p w14:paraId="6AFA479B">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MIMO transmission</w:t>
            </w:r>
          </w:p>
        </w:tc>
        <w:tc>
          <w:tcPr>
            <w:tcW w:w="0" w:type="auto"/>
          </w:tcPr>
          <w:p w14:paraId="541C7430">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65ns</w:t>
            </w:r>
          </w:p>
        </w:tc>
        <w:tc>
          <w:tcPr>
            <w:tcW w:w="0" w:type="auto"/>
          </w:tcPr>
          <w:p w14:paraId="2C2FE294">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requirement is inherited from UTRA as 1/4 chip duration of 3.84MHz UTRA FDD system;</w:t>
            </w:r>
          </w:p>
        </w:tc>
      </w:tr>
      <w:tr w14:paraId="5BF8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1ECBF4EC">
            <w:pPr>
              <w:keepNext w:val="0"/>
              <w:keepLines w:val="0"/>
              <w:suppressLineNumbers w:val="0"/>
              <w:spacing w:before="0" w:beforeAutospacing="0" w:afterAutospacing="0"/>
              <w:ind w:left="0" w:right="0"/>
              <w:rPr>
                <w:rFonts w:hint="default"/>
                <w:vertAlign w:val="baseline"/>
                <w:lang w:val="en-US" w:eastAsia="zh-CN"/>
              </w:rPr>
            </w:pPr>
          </w:p>
        </w:tc>
        <w:tc>
          <w:tcPr>
            <w:tcW w:w="0" w:type="auto"/>
            <w:shd w:val="clear" w:color="auto" w:fill="auto"/>
            <w:vAlign w:val="top"/>
          </w:tcPr>
          <w:p w14:paraId="69F6A07F">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contiguous carrier aggregation</w:t>
            </w:r>
          </w:p>
        </w:tc>
        <w:tc>
          <w:tcPr>
            <w:tcW w:w="0" w:type="auto"/>
          </w:tcPr>
          <w:p w14:paraId="6BE182A1">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130ns</w:t>
            </w:r>
          </w:p>
        </w:tc>
        <w:tc>
          <w:tcPr>
            <w:tcW w:w="0" w:type="auto"/>
          </w:tcPr>
          <w:p w14:paraId="07FABF18">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Similar as FR1 intra-band contiguous CA and higher subcarrier spacing is assumed for FR2-1, the requirement is reduced from 260ns to 130ns.</w:t>
            </w:r>
          </w:p>
        </w:tc>
      </w:tr>
      <w:tr w14:paraId="7B4F2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395562D3">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14:paraId="705C7FDF">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non-contiguous carrier aggregation</w:t>
            </w:r>
          </w:p>
        </w:tc>
        <w:tc>
          <w:tcPr>
            <w:tcW w:w="0" w:type="auto"/>
          </w:tcPr>
          <w:p w14:paraId="6DE44382">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14:paraId="332F737C">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the assumption of shared RF chain reception for intra-band non-contiguous CA different from FR1 UE assumption. At the beginning, the minimum TAE requirement 3us is applied for FR2 intra-band non-contiguous CA, however 3us is larger than CP of FR2 supported SCS, considering the frequent Rx sweeping, then there would be lots of data interruption on Scell(s) which will cause the significant performance degradation, then this requirement was improved from 3us to 260ns to minimize the Scell reception interruption.</w:t>
            </w:r>
          </w:p>
        </w:tc>
      </w:tr>
      <w:tr w14:paraId="73604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581792C3">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14:paraId="0ABD00C2">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inter-band carrier aggregation</w:t>
            </w:r>
          </w:p>
        </w:tc>
        <w:tc>
          <w:tcPr>
            <w:tcW w:w="0" w:type="auto"/>
          </w:tcPr>
          <w:p w14:paraId="630E8149">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14:paraId="2320A912">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This is based on the assumption of individual RF chain reception for inter-band CA case. </w:t>
            </w:r>
          </w:p>
          <w:p w14:paraId="4A48B300">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3us TAE requirement for inter-band CA also make the UE CBM operation impossible. So far from FR2 inter-band CA scenario, only IBM operation is supported. CBM operation was discussed in the Rel-17, however due to the difficulty to reach the consensus on the applicable frequency separation for CBM, then it is dropped at the end. </w:t>
            </w:r>
          </w:p>
        </w:tc>
      </w:tr>
    </w:tbl>
    <w:p w14:paraId="1EDEB592">
      <w:pPr>
        <w:tabs>
          <w:tab w:val="left" w:pos="2127"/>
        </w:tabs>
        <w:spacing w:after="0"/>
        <w:jc w:val="left"/>
        <w:rPr>
          <w:rFonts w:hint="eastAsia"/>
          <w:lang w:val="en-US" w:eastAsia="zh-CN"/>
        </w:rPr>
      </w:pPr>
    </w:p>
    <w:p w14:paraId="3A69F38F">
      <w:pPr>
        <w:tabs>
          <w:tab w:val="left" w:pos="2127"/>
        </w:tabs>
        <w:spacing w:after="0"/>
        <w:jc w:val="left"/>
        <w:rPr>
          <w:rFonts w:hint="eastAsia"/>
          <w:lang w:val="en-US" w:eastAsia="zh-CN"/>
        </w:rPr>
      </w:pPr>
      <w:r>
        <w:rPr>
          <w:rFonts w:hint="eastAsia"/>
          <w:lang w:val="en-US" w:eastAsia="zh-CN"/>
        </w:rPr>
        <w:t>It could be easily found that more appropriate TAE requirements should be considered for 6G at the beginning which is extremely important for forward compatibility design.</w:t>
      </w:r>
    </w:p>
    <w:p w14:paraId="4446E2A6">
      <w:pPr>
        <w:tabs>
          <w:tab w:val="left" w:pos="2127"/>
        </w:tabs>
        <w:spacing w:after="0"/>
        <w:jc w:val="left"/>
        <w:rPr>
          <w:rFonts w:hint="eastAsia"/>
          <w:lang w:val="en-US" w:eastAsia="zh-CN"/>
        </w:rPr>
      </w:pPr>
      <w:r>
        <w:rPr>
          <w:rFonts w:hint="eastAsia"/>
          <w:lang w:val="en-US" w:eastAsia="zh-CN"/>
        </w:rPr>
        <w:t xml:space="preserve">For the TAE requirement for 6G MIMO feature, we propose to conduct the corresponding physical layer evaluation similar as the study in UTRA phase instead of reusing the requirement directly without the justification. </w:t>
      </w:r>
    </w:p>
    <w:p w14:paraId="28133BF0">
      <w:pPr>
        <w:tabs>
          <w:tab w:val="left" w:pos="2127"/>
        </w:tabs>
        <w:spacing w:after="0"/>
        <w:jc w:val="left"/>
        <w:rPr>
          <w:rFonts w:hint="eastAsia"/>
          <w:lang w:val="en-US" w:eastAsia="zh-CN"/>
        </w:rPr>
      </w:pPr>
      <w:r>
        <w:rPr>
          <w:rFonts w:hint="eastAsia"/>
          <w:b/>
          <w:bCs/>
          <w:lang w:val="en-US" w:eastAsia="zh-CN"/>
        </w:rPr>
        <w:t>Proposal 14</w:t>
      </w:r>
      <w:r>
        <w:rPr>
          <w:rFonts w:hint="eastAsia"/>
          <w:lang w:val="en-US" w:eastAsia="zh-CN"/>
        </w:rPr>
        <w:t xml:space="preserve">: for the MIMO TAE requirement for 6GR BS, propose to conduct the relevant physical layer evaluation with the TAE and different MIMO layers taken into account to define the more appropriate TAE requirement; </w:t>
      </w:r>
    </w:p>
    <w:p w14:paraId="79C64462">
      <w:pPr>
        <w:tabs>
          <w:tab w:val="left" w:pos="2127"/>
        </w:tabs>
        <w:spacing w:after="0"/>
        <w:jc w:val="left"/>
        <w:rPr>
          <w:rFonts w:hint="eastAsia"/>
          <w:lang w:val="en-US" w:eastAsia="zh-CN"/>
        </w:rPr>
      </w:pPr>
      <w:r>
        <w:rPr>
          <w:rFonts w:hint="eastAsia"/>
          <w:lang w:val="en-US" w:eastAsia="zh-CN"/>
        </w:rPr>
        <w:t xml:space="preserve">For the TAE requirement for 6G beamforming feature, we propose to conduct the relevant study to figure out the appropriate phase error requirement for it. Meanwhile the feasibility and achievable performance of online timing/amplitude calibration within the AAU should be also considered. </w:t>
      </w:r>
    </w:p>
    <w:p w14:paraId="61FB3431">
      <w:pPr>
        <w:tabs>
          <w:tab w:val="left" w:pos="2127"/>
        </w:tabs>
        <w:spacing w:after="0"/>
        <w:jc w:val="left"/>
        <w:rPr>
          <w:rFonts w:hint="eastAsia"/>
          <w:lang w:val="en-US" w:eastAsia="zh-CN"/>
        </w:rPr>
      </w:pPr>
      <w:r>
        <w:rPr>
          <w:rFonts w:hint="eastAsia"/>
          <w:b/>
          <w:bCs/>
          <w:lang w:val="en-US" w:eastAsia="zh-CN"/>
        </w:rPr>
        <w:t>Proposal 15:</w:t>
      </w:r>
      <w:r>
        <w:rPr>
          <w:rFonts w:hint="eastAsia"/>
          <w:lang w:val="en-US" w:eastAsia="zh-CN"/>
        </w:rPr>
        <w:t xml:space="preserve"> for TAE requirement among different transceivers for 6GR BS beamforming, propose to discuss the necessity and how to define the requirement for it in 6G day 1. </w:t>
      </w:r>
    </w:p>
    <w:p w14:paraId="7EAA6FDC">
      <w:pPr>
        <w:tabs>
          <w:tab w:val="left" w:pos="2127"/>
        </w:tabs>
        <w:spacing w:after="0"/>
        <w:jc w:val="left"/>
        <w:rPr>
          <w:rFonts w:hint="eastAsia"/>
          <w:lang w:val="en-US" w:eastAsia="zh-CN"/>
        </w:rPr>
      </w:pPr>
      <w:r>
        <w:rPr>
          <w:rFonts w:hint="eastAsia"/>
          <w:lang w:val="en-US" w:eastAsia="zh-CN"/>
        </w:rPr>
        <w:t xml:space="preserve">For the intra-band contiguous CA for 6G BS, we propose to consider the different requirements for different use case if necessary e.g. the orthogonality to reduce the inter-carrier interference for communications, SSB-less for fast scell activation and spectrum aggregated positioning; </w:t>
      </w:r>
    </w:p>
    <w:p w14:paraId="6284B377">
      <w:pPr>
        <w:tabs>
          <w:tab w:val="left" w:pos="2127"/>
        </w:tabs>
        <w:spacing w:after="0"/>
        <w:jc w:val="left"/>
        <w:rPr>
          <w:rFonts w:hint="default"/>
          <w:lang w:val="en-US" w:eastAsia="zh-CN"/>
        </w:rPr>
      </w:pPr>
      <w:r>
        <w:rPr>
          <w:rFonts w:hint="eastAsia"/>
          <w:b/>
          <w:bCs/>
          <w:lang w:val="en-US" w:eastAsia="zh-CN"/>
        </w:rPr>
        <w:t>Proposal 16</w:t>
      </w:r>
      <w:r>
        <w:rPr>
          <w:rFonts w:hint="eastAsia"/>
          <w:lang w:val="en-US" w:eastAsia="zh-CN"/>
        </w:rPr>
        <w:t>: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 then further discuss how and whether to specify the unified TAE requirement.</w:t>
      </w:r>
    </w:p>
    <w:p w14:paraId="083BDD32">
      <w:pPr>
        <w:tabs>
          <w:tab w:val="left" w:pos="2127"/>
        </w:tabs>
        <w:spacing w:after="0"/>
        <w:jc w:val="left"/>
        <w:rPr>
          <w:rFonts w:hint="eastAsia"/>
          <w:lang w:val="en-US" w:eastAsia="zh-CN"/>
        </w:rPr>
      </w:pPr>
      <w:r>
        <w:rPr>
          <w:rFonts w:hint="eastAsia"/>
          <w:lang w:val="en-US" w:eastAsia="zh-CN"/>
        </w:rPr>
        <w:t xml:space="preserve">For the intra-band non-contiguous CA for 6G BS, similar as the consideration in 5G-A phase, both NES with SSB-less operation in FR1 and the potential interruption due to Rx sweeping in FR2-1 should be considered. </w:t>
      </w:r>
    </w:p>
    <w:p w14:paraId="3B12CC42">
      <w:pPr>
        <w:tabs>
          <w:tab w:val="left" w:pos="2127"/>
        </w:tabs>
        <w:spacing w:after="0"/>
        <w:jc w:val="left"/>
        <w:rPr>
          <w:rFonts w:hint="eastAsia"/>
          <w:highlight w:val="none"/>
          <w:lang w:val="en-US" w:eastAsia="zh-CN"/>
        </w:rPr>
      </w:pPr>
      <w:r>
        <w:rPr>
          <w:rFonts w:hint="eastAsia"/>
          <w:b/>
          <w:bCs/>
          <w:highlight w:val="none"/>
          <w:lang w:val="en-US" w:eastAsia="zh-CN"/>
        </w:rPr>
        <w:t>Proposal 17</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14:paraId="1A16943E">
      <w:pPr>
        <w:tabs>
          <w:tab w:val="left" w:pos="2127"/>
        </w:tabs>
        <w:spacing w:after="0"/>
        <w:jc w:val="left"/>
        <w:rPr>
          <w:rFonts w:hint="default"/>
          <w:lang w:val="en-US" w:eastAsia="zh-CN"/>
        </w:rPr>
      </w:pPr>
      <w:r>
        <w:rPr>
          <w:rFonts w:hint="eastAsia"/>
          <w:lang w:val="en-US" w:eastAsia="zh-CN"/>
        </w:rPr>
        <w:t xml:space="preserve">For inter-band CA, the existing requirement was defined as 3us for NR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14:paraId="07D251DD">
      <w:pPr>
        <w:tabs>
          <w:tab w:val="left" w:pos="2127"/>
        </w:tabs>
        <w:spacing w:after="0"/>
        <w:jc w:val="left"/>
        <w:rPr>
          <w:rFonts w:hint="eastAsia"/>
          <w:lang w:val="en-US" w:eastAsia="zh-CN"/>
        </w:rPr>
      </w:pPr>
      <w:r>
        <w:rPr>
          <w:rFonts w:hint="eastAsia"/>
          <w:lang w:val="en-US" w:eastAsia="zh-CN"/>
        </w:rPr>
        <w:t xml:space="preserve">However as shown in the following Figure 2.3.3-1 for typical inter-band CA BS architecture in the co-located scenario, then practical timing difference among different bands should be optimized down to 10ns-65ns which is much less than the normal CP of the supported subcarrier spacing in FR1. </w:t>
      </w:r>
    </w:p>
    <w:p w14:paraId="195A1CA1">
      <w:pPr>
        <w:tabs>
          <w:tab w:val="left" w:pos="2127"/>
        </w:tabs>
        <w:spacing w:after="0"/>
        <w:jc w:val="left"/>
        <w:rPr>
          <w:rFonts w:hint="default"/>
          <w:lang w:val="en-US" w:eastAsia="zh-CN"/>
        </w:rPr>
      </w:pPr>
      <w:r>
        <w:rPr>
          <w:rFonts w:hint="eastAsia"/>
          <w:lang w:val="en-US" w:eastAsia="zh-CN"/>
        </w:rPr>
        <w:t xml:space="preserve">In addition, if the </w:t>
      </w:r>
      <w:r>
        <w:rPr>
          <w:rFonts w:hint="default"/>
          <w:lang w:val="en-US" w:eastAsia="zh-CN"/>
        </w:rPr>
        <w:t>“</w:t>
      </w:r>
      <w:r>
        <w:rPr>
          <w:rFonts w:hint="eastAsia"/>
          <w:lang w:val="en-US" w:eastAsia="zh-CN"/>
        </w:rPr>
        <w:t>adjacent</w:t>
      </w:r>
      <w:r>
        <w:rPr>
          <w:rFonts w:hint="default"/>
          <w:lang w:val="en-US" w:eastAsia="zh-CN"/>
        </w:rPr>
        <w:t>”</w:t>
      </w:r>
      <w:r>
        <w:rPr>
          <w:rFonts w:hint="eastAsia"/>
          <w:lang w:val="en-US" w:eastAsia="zh-CN"/>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Indeed for single RF chain case to support the multi-bands which is quite similar as intra-band contiguous CA RF architecture to support the BW aggregated positioning, it was agreed that TAE could be ignored otherwise the positioning performance cannot been guaranteed at all.</w:t>
      </w:r>
    </w:p>
    <w:p w14:paraId="097CBCBB">
      <w:pPr>
        <w:pStyle w:val="37"/>
        <w:numPr>
          <w:ilvl w:val="0"/>
          <w:numId w:val="0"/>
        </w:numPr>
        <w:rPr>
          <w:highlight w:val="none"/>
        </w:rPr>
      </w:pPr>
      <w:r>
        <w:rPr>
          <w:highlight w:val="none"/>
        </w:rPr>
        <w:drawing>
          <wp:inline distT="0" distB="0" distL="114300" distR="114300">
            <wp:extent cx="6188075" cy="1932305"/>
            <wp:effectExtent l="0" t="0" r="3175" b="1079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9"/>
                    <a:stretch>
                      <a:fillRect/>
                    </a:stretch>
                  </pic:blipFill>
                  <pic:spPr>
                    <a:xfrm>
                      <a:off x="0" y="0"/>
                      <a:ext cx="6188075" cy="1932305"/>
                    </a:xfrm>
                    <a:prstGeom prst="rect">
                      <a:avLst/>
                    </a:prstGeom>
                    <a:noFill/>
                    <a:ln>
                      <a:noFill/>
                    </a:ln>
                  </pic:spPr>
                </pic:pic>
              </a:graphicData>
            </a:graphic>
          </wp:inline>
        </w:drawing>
      </w:r>
    </w:p>
    <w:p w14:paraId="1FB8BC52">
      <w:pPr>
        <w:pStyle w:val="37"/>
        <w:numPr>
          <w:ilvl w:val="0"/>
          <w:numId w:val="0"/>
        </w:numPr>
        <w:jc w:val="center"/>
        <w:rPr>
          <w:rFonts w:hint="default" w:eastAsia="宋体"/>
          <w:highlight w:val="none"/>
          <w:lang w:val="en-US" w:eastAsia="zh-CN"/>
        </w:rPr>
      </w:pPr>
      <w:r>
        <w:rPr>
          <w:rFonts w:hint="eastAsia"/>
          <w:highlight w:val="none"/>
          <w:lang w:val="en-US" w:eastAsia="zh-CN"/>
        </w:rPr>
        <w:t xml:space="preserve">Figure </w:t>
      </w:r>
      <w:r>
        <w:rPr>
          <w:rFonts w:hint="eastAsia"/>
          <w:lang w:val="en-US" w:eastAsia="zh-CN"/>
        </w:rPr>
        <w:t>2.3.3-1</w:t>
      </w:r>
      <w:r>
        <w:rPr>
          <w:rFonts w:hint="eastAsia"/>
          <w:highlight w:val="none"/>
          <w:lang w:val="en-US" w:eastAsia="zh-CN"/>
        </w:rPr>
        <w:t>. The link budget for inter-band CA TAE performance in co-located scenario</w:t>
      </w:r>
    </w:p>
    <w:p w14:paraId="11987776">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Observation 1: the</w:t>
      </w:r>
      <w:r>
        <w:rPr>
          <w:rFonts w:hint="eastAsia" w:eastAsia="Times New Roman" w:cs="Times New Roman"/>
          <w:b w:val="0"/>
          <w:bCs w:val="0"/>
          <w:kern w:val="0"/>
          <w:sz w:val="20"/>
          <w:szCs w:val="20"/>
          <w:highlight w:val="none"/>
          <w:lang w:val="en-US" w:eastAsia="zh-CN" w:bidi="ar-SA"/>
        </w:rPr>
        <w:t xml:space="preserve"> FR1 inter-band CA TAE requirement in co-located scenario as 260ns is feasible.</w:t>
      </w:r>
    </w:p>
    <w:p w14:paraId="17FF42AE">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18:</w:t>
      </w:r>
      <w:r>
        <w:rPr>
          <w:rFonts w:hint="eastAsia"/>
          <w:highlight w:val="none"/>
          <w:lang w:val="en-US" w:eastAsia="zh-CN"/>
        </w:rPr>
        <w:t xml:space="preserve"> for the inter-band co-located CA for 6G BS, propose to discuss the optimal TAE requirement considering the NES with SSB-less operation in FR1 and FR2 UE Common beam management (CBM) in FR2-1,etc.</w:t>
      </w:r>
    </w:p>
    <w:p w14:paraId="4B23666D">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p>
    <w:p w14:paraId="625DC0F8">
      <w:pPr>
        <w:tabs>
          <w:tab w:val="left" w:pos="2127"/>
        </w:tabs>
        <w:spacing w:after="0"/>
        <w:jc w:val="left"/>
        <w:rPr>
          <w:rFonts w:hint="eastAsia"/>
          <w:b/>
          <w:bCs/>
          <w:highlight w:val="yellow"/>
          <w:lang w:val="en-US" w:eastAsia="zh-CN"/>
        </w:rPr>
      </w:pPr>
      <w:r>
        <w:rPr>
          <w:rFonts w:hint="default"/>
          <w:highlight w:val="none"/>
          <w:lang w:eastAsia="zh-CN"/>
        </w:rPr>
        <w:t xml:space="preserve">Lastly, </w:t>
      </w:r>
      <w:r>
        <w:rPr>
          <w:rFonts w:hint="eastAsia"/>
          <w:highlight w:val="none"/>
          <w:lang w:val="en-US" w:eastAsia="zh-CN"/>
        </w:rPr>
        <w:t>the 6G spectrum utilization (e.g. new carrier aggregation mechanism instead of SU with the certain carrier in RAN4) design is expected to start in 2026, Q1, there might be some potential innovative solutions agreed by RAN1. From the procedure wise, after the consensus reached in RAN1/2, RAN4 also need to discuss and define the corresponding TAE requirement to enable the potential RRM measurement across different carriers with this new spectrum utilization mechanism.</w:t>
      </w:r>
    </w:p>
    <w:p w14:paraId="7CDA99F4">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highlight w:val="yellow"/>
          <w:lang w:val="en-US" w:eastAsia="zh-CN"/>
        </w:rPr>
      </w:pPr>
      <w:r>
        <w:rPr>
          <w:rFonts w:hint="eastAsia"/>
          <w:b/>
          <w:bCs/>
          <w:highlight w:val="none"/>
          <w:lang w:val="en-US" w:eastAsia="zh-CN"/>
        </w:rPr>
        <w:t xml:space="preserve">Proposal 19: </w:t>
      </w:r>
      <w:r>
        <w:rPr>
          <w:rFonts w:hint="eastAsia"/>
          <w:b w:val="0"/>
          <w:bCs w:val="0"/>
          <w:highlight w:val="none"/>
          <w:lang w:val="en-US" w:eastAsia="zh-CN"/>
        </w:rPr>
        <w:t xml:space="preserve">for the potential </w:t>
      </w:r>
      <w:r>
        <w:rPr>
          <w:rFonts w:hint="eastAsia"/>
          <w:highlight w:val="none"/>
          <w:lang w:val="en-US" w:eastAsia="zh-CN"/>
        </w:rPr>
        <w:t xml:space="preserve">new spectrum utilization mechanism, RAN4 need to discuss and define the corresponding TAE requirement to enable the potential RRM measurement across different carriers. </w:t>
      </w:r>
    </w:p>
    <w:p w14:paraId="6F91C4D4">
      <w:pPr>
        <w:tabs>
          <w:tab w:val="left" w:pos="2127"/>
        </w:tabs>
        <w:spacing w:after="0"/>
        <w:jc w:val="left"/>
        <w:rPr>
          <w:rFonts w:hint="eastAsia"/>
          <w:highlight w:val="yellow"/>
          <w:lang w:val="en-US" w:eastAsia="zh-CN"/>
        </w:rPr>
      </w:pPr>
    </w:p>
    <w:p w14:paraId="03E10FE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2.3.4. Cell phase requirement </w:t>
      </w:r>
    </w:p>
    <w:p w14:paraId="7D2B915D">
      <w:pPr>
        <w:tabs>
          <w:tab w:val="left" w:pos="2127"/>
        </w:tabs>
        <w:spacing w:after="0"/>
        <w:jc w:val="left"/>
        <w:rPr>
          <w:rFonts w:hint="eastAsia"/>
          <w:lang w:val="en-US" w:eastAsia="zh-CN"/>
        </w:rPr>
      </w:pPr>
      <w:r>
        <w:rPr>
          <w:rFonts w:hint="eastAsia"/>
          <w:lang w:val="en-US" w:eastAsia="zh-CN"/>
        </w:rPr>
        <w:t xml:space="preserve">For BS RF requirement perspective, usually we only define the RF requirement for single BS or transceivers with the single enclosure for the deployment. For the cell phase minimum requirements 3us (or +/-1.5us according to the ITU-T regulation) for different BSs/TRPs, this is captured in TS 38.133 as the basic assumption to derive lots of the timing requirement from UE side (e.g.MRTD/MTTD requirement, N_TA_offset). In addition, this cell phase error requirement is also only applicable for TDD BSs with the overlapping coverage areas to provide the basic guidance on how to configure the DL-UL transition period or DL-UL transition gap to avoid the BS2BS/UE2UE CLI interference.  </w:t>
      </w:r>
    </w:p>
    <w:p w14:paraId="17C75092">
      <w:pPr>
        <w:tabs>
          <w:tab w:val="left" w:pos="2127"/>
        </w:tabs>
        <w:spacing w:after="0"/>
        <w:jc w:val="left"/>
        <w:rPr>
          <w:rFonts w:hint="eastAsia"/>
          <w:lang w:val="en-US" w:eastAsia="zh-CN"/>
        </w:rPr>
      </w:pPr>
      <w:r>
        <w:rPr>
          <w:rFonts w:hint="eastAsia"/>
          <w:lang w:val="en-US" w:eastAsia="zh-CN"/>
        </w:rPr>
        <w:t xml:space="preserve">In addition, it should be noted that the minimum requirement 3us inherited from 3G to 4G and 5G is the worst case assumption with the external timing reference signal lost at the extreme conditions, then gNB should use the backup internal oscillator to maintain the basic timing unit for the baseband and AAU operation. Usually this kind of worst case performance is not expected to occur under the normal operation mode. As shown in the normal operation with either GPS/IEEE 1588 as input timing signal, the cell phase error among different BS with different reference timing source could be maintained within 200ns instead of 3us. If the different BS could be implemented with same timing reference as shown in the following Figure 2.3.4-1 and and some further internal known measurement/calibration to achieve better alignment, cell phase error performance could be maintained much better than 200ns. </w:t>
      </w:r>
    </w:p>
    <w:p w14:paraId="731C2AF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20</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14:paraId="106FFBA8">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008245" cy="2366645"/>
            <wp:effectExtent l="0" t="0" r="1905" b="14605"/>
            <wp:docPr id="1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IMG_256"/>
                    <pic:cNvPicPr>
                      <a:picLocks noChangeAspect="1"/>
                    </pic:cNvPicPr>
                  </pic:nvPicPr>
                  <pic:blipFill>
                    <a:blip r:embed="rId20"/>
                    <a:stretch>
                      <a:fillRect/>
                    </a:stretch>
                  </pic:blipFill>
                  <pic:spPr>
                    <a:xfrm>
                      <a:off x="0" y="0"/>
                      <a:ext cx="5008245" cy="2366645"/>
                    </a:xfrm>
                    <a:prstGeom prst="rect">
                      <a:avLst/>
                    </a:prstGeom>
                    <a:noFill/>
                    <a:ln w="9525">
                      <a:noFill/>
                    </a:ln>
                  </pic:spPr>
                </pic:pic>
              </a:graphicData>
            </a:graphic>
          </wp:inline>
        </w:drawing>
      </w:r>
    </w:p>
    <w:p w14:paraId="306BE14E">
      <w:pPr>
        <w:pageBreakBefore w:val="0"/>
        <w:kinsoku/>
        <w:wordWrap/>
        <w:topLinePunct w:val="0"/>
        <w:bidi w:val="0"/>
        <w:snapToGrid/>
        <w:spacing w:after="0"/>
        <w:jc w:val="center"/>
        <w:rPr>
          <w:rFonts w:hint="eastAsia"/>
          <w:lang w:val="en-US" w:eastAsia="zh-CN"/>
        </w:rPr>
      </w:pPr>
      <w:r>
        <w:rPr>
          <w:rFonts w:hint="eastAsia"/>
          <w:lang w:val="en-US" w:eastAsia="zh-CN"/>
        </w:rPr>
        <w:t>Figure 2.3.4-1. The improved cell phase requirement for CJT or cell free concept in 6G day1</w:t>
      </w:r>
    </w:p>
    <w:p w14:paraId="45D8D3B5">
      <w:pPr>
        <w:tabs>
          <w:tab w:val="left" w:pos="2127"/>
        </w:tabs>
        <w:spacing w:after="0"/>
        <w:jc w:val="left"/>
        <w:rPr>
          <w:rFonts w:hint="default"/>
          <w:lang w:val="en-US" w:eastAsia="zh-CN"/>
        </w:rPr>
      </w:pPr>
      <w:r>
        <w:rPr>
          <w:rFonts w:hint="eastAsia"/>
          <w:lang w:val="en-US" w:eastAsia="zh-CN"/>
        </w:rPr>
        <w:t xml:space="preserve">Another important deployment scenario called the </w:t>
      </w:r>
      <w:r>
        <w:rPr>
          <w:rFonts w:hint="eastAsia"/>
          <w:lang w:val="en-US" w:eastAsia="en-US"/>
        </w:rPr>
        <w:t>coherent joint transmission (CJT)</w:t>
      </w:r>
      <w:r>
        <w:rPr>
          <w:rFonts w:hint="eastAsia"/>
          <w:lang w:val="en-US" w:eastAsia="zh-CN"/>
        </w:rPr>
        <w:t xml:space="preserve"> as shown in Figure 2.3.4-2 will also have the direct impacts on cell phase error requirement. </w:t>
      </w:r>
      <w:r>
        <w:rPr>
          <w:rFonts w:hint="eastAsia"/>
          <w:lang w:val="en-US" w:eastAsia="en-US"/>
        </w:rPr>
        <w:t xml:space="preserve">The coherent joint transmission (CJT) offers downlink spectral efficiency and coverage gain. In Rel-18, Type-II CSI has been enhanced to accommodate CJT assuming ideal synchronization and backhaul. </w:t>
      </w:r>
      <w:r>
        <w:rPr>
          <w:rFonts w:hint="eastAsia"/>
          <w:lang w:val="en-US" w:eastAsia="zh-CN"/>
        </w:rPr>
        <w:t xml:space="preserve">In Rel-19, UE reporting enhancement for CJT deployment under the non-ideal sync and backhaul case is also specified. In short, in order to achieve the coherent reception from UE side, the phase error between different TRPs should be maintained in certain degree level to ensure the positive summation from different received signals.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CF7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3B0F559">
            <w:pPr>
              <w:keepNext w:val="0"/>
              <w:keepLines w:val="0"/>
              <w:numPr>
                <w:ilvl w:val="0"/>
                <w:numId w:val="9"/>
              </w:numPr>
              <w:suppressLineNumbers w:val="0"/>
              <w:overflowPunct/>
              <w:autoSpaceDE/>
              <w:autoSpaceDN/>
              <w:adjustRightInd/>
              <w:snapToGrid w:val="0"/>
              <w:spacing w:before="0" w:beforeAutospacing="0" w:after="0" w:afterAutospacing="0"/>
              <w:ind w:right="0"/>
              <w:textAlignment w:val="auto"/>
              <w:rPr>
                <w:rFonts w:hint="default" w:eastAsia="Times New Roman"/>
                <w:szCs w:val="24"/>
                <w:lang w:val="en-US" w:eastAsia="en-US"/>
              </w:rPr>
            </w:pPr>
            <w:r>
              <w:rPr>
                <w:rFonts w:hint="default" w:eastAsia="Times New Roman"/>
                <w:szCs w:val="24"/>
                <w:lang w:val="en-US" w:eastAsia="en-US"/>
              </w:rPr>
              <w:t xml:space="preserve">Specify UE reporting enhancement for CJT deployments under non-ideal synchronization and backhaul, targeting FR1, both FDD and TDD </w:t>
            </w:r>
          </w:p>
          <w:p w14:paraId="363F9D1E">
            <w:pPr>
              <w:keepNext w:val="0"/>
              <w:keepLines w:val="0"/>
              <w:numPr>
                <w:ilvl w:val="0"/>
                <w:numId w:val="10"/>
              </w:numPr>
              <w:suppressLineNumbers w:val="0"/>
              <w:overflowPunct/>
              <w:autoSpaceDE/>
              <w:autoSpaceDN/>
              <w:adjustRightInd/>
              <w:snapToGrid w:val="0"/>
              <w:spacing w:before="0" w:beforeAutospacing="0" w:after="0" w:afterAutospacing="0"/>
              <w:ind w:right="0"/>
              <w:textAlignment w:val="auto"/>
              <w:rPr>
                <w:rFonts w:hint="default"/>
                <w:vertAlign w:val="baseline"/>
                <w:lang w:val="en-US" w:eastAsia="zh-CN"/>
              </w:rPr>
            </w:pPr>
            <w:r>
              <w:rPr>
                <w:rFonts w:hint="default" w:eastAsia="Times New Roman"/>
                <w:szCs w:val="24"/>
                <w:lang w:val="en-US" w:eastAsia="en-US"/>
              </w:rPr>
              <w:t>Inter-TRP time misalignment and frequency/phase offset measurement and reporting, assuming legacy CSI-RS design, with stand-alone aperiodic reporting on PUSCH</w:t>
            </w:r>
          </w:p>
        </w:tc>
      </w:tr>
    </w:tbl>
    <w:p w14:paraId="04E8FF0E">
      <w:pPr>
        <w:keepNext w:val="0"/>
        <w:keepLines w:val="0"/>
        <w:widowControl/>
        <w:suppressLineNumbers w:val="0"/>
        <w:jc w:val="center"/>
        <w:rPr>
          <w:rFonts w:hint="eastAsia"/>
          <w:lang w:val="en-US" w:eastAsia="zh-CN"/>
        </w:rPr>
      </w:pPr>
      <w:r>
        <w:rPr>
          <w:rFonts w:ascii="宋体" w:hAnsi="宋体" w:eastAsia="宋体" w:cs="宋体"/>
          <w:kern w:val="0"/>
          <w:sz w:val="24"/>
          <w:szCs w:val="24"/>
          <w:lang w:val="en-US" w:eastAsia="zh-CN" w:bidi="ar"/>
        </w:rPr>
        <w:drawing>
          <wp:inline distT="0" distB="0" distL="114300" distR="114300">
            <wp:extent cx="5624195" cy="2454910"/>
            <wp:effectExtent l="0" t="0" r="14605" b="2540"/>
            <wp:docPr id="1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descr="IMG_256"/>
                    <pic:cNvPicPr>
                      <a:picLocks noChangeAspect="1"/>
                    </pic:cNvPicPr>
                  </pic:nvPicPr>
                  <pic:blipFill>
                    <a:blip r:embed="rId21"/>
                    <a:stretch>
                      <a:fillRect/>
                    </a:stretch>
                  </pic:blipFill>
                  <pic:spPr>
                    <a:xfrm>
                      <a:off x="0" y="0"/>
                      <a:ext cx="5624195" cy="2454910"/>
                    </a:xfrm>
                    <a:prstGeom prst="rect">
                      <a:avLst/>
                    </a:prstGeom>
                    <a:noFill/>
                    <a:ln w="9525">
                      <a:noFill/>
                    </a:ln>
                  </pic:spPr>
                </pic:pic>
              </a:graphicData>
            </a:graphic>
          </wp:inline>
        </w:drawing>
      </w:r>
    </w:p>
    <w:p w14:paraId="584E4ADE">
      <w:pPr>
        <w:pageBreakBefore w:val="0"/>
        <w:kinsoku/>
        <w:wordWrap/>
        <w:topLinePunct w:val="0"/>
        <w:bidi w:val="0"/>
        <w:snapToGrid/>
        <w:spacing w:after="0"/>
        <w:jc w:val="center"/>
        <w:rPr>
          <w:rFonts w:hint="eastAsia"/>
          <w:lang w:val="en-US" w:eastAsia="zh-CN"/>
        </w:rPr>
      </w:pPr>
      <w:r>
        <w:rPr>
          <w:rFonts w:hint="eastAsia"/>
          <w:lang w:val="en-US" w:eastAsia="zh-CN"/>
        </w:rPr>
        <w:t>Figure 2.3.4-2. The improved cell phase requirement for CJT or cell free concept in 6G day1</w:t>
      </w:r>
    </w:p>
    <w:p w14:paraId="6E06D5A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21</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14:paraId="7FBE24F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p>
    <w:p w14:paraId="7743FEB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2.3.5. ACLR requirement</w:t>
      </w:r>
    </w:p>
    <w:p w14:paraId="07DD5899">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14:paraId="3F006A6D">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14:paraId="0DFFB8EF">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A76CACD">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14:paraId="04795400">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14:paraId="517399BC">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14:paraId="7520D254">
      <w:pPr>
        <w:pageBreakBefore w:val="0"/>
        <w:kinsoku/>
        <w:wordWrap/>
        <w:topLinePunct w:val="0"/>
        <w:bidi w:val="0"/>
        <w:snapToGrid/>
        <w:spacing w:after="0"/>
        <w:jc w:val="center"/>
        <w:rPr>
          <w:rFonts w:hint="default"/>
          <w:lang w:val="en-US" w:eastAsia="zh-CN"/>
        </w:rPr>
      </w:pPr>
      <w:r>
        <w:rPr>
          <w:rFonts w:hint="eastAsia"/>
          <w:lang w:val="en-US" w:eastAsia="zh-CN"/>
        </w:rPr>
        <w:t>Figure 2.3.5-1: Array correlation factor roll-off model. [TR 38.922]</w:t>
      </w:r>
    </w:p>
    <w:p w14:paraId="3E21F2CE">
      <w:pPr>
        <w:pageBreakBefore w:val="0"/>
        <w:kinsoku/>
        <w:wordWrap/>
        <w:topLinePunct w:val="0"/>
        <w:bidi w:val="0"/>
        <w:snapToGrid/>
        <w:spacing w:after="0"/>
      </w:pPr>
      <w:r>
        <w:t>Using the approach above the antenna model can be extended to capture array antenna gain outside the wanted carrier as:</w:t>
      </w:r>
    </w:p>
    <w:p w14:paraId="290262E0">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10F21DD8">
      <w:pPr>
        <w:pageBreakBefore w:val="0"/>
        <w:kinsoku/>
        <w:wordWrap/>
        <w:topLinePunct w:val="0"/>
        <w:bidi w:val="0"/>
        <w:snapToGrid/>
        <w:spacing w:after="0"/>
        <w:rPr>
          <w:rFonts w:hint="default"/>
          <w:lang w:val="en-US" w:eastAsia="zh-CN"/>
        </w:rPr>
      </w:pPr>
      <w:r>
        <w:rPr>
          <w:rFonts w:hint="eastAsia"/>
          <w:lang w:val="en-US" w:eastAsia="zh-CN"/>
        </w:rPr>
        <w:t xml:space="preserve">In addition,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14:paraId="08DF2C9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22</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14:paraId="6F3D7B6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23</w:t>
      </w:r>
      <w:r>
        <w:rPr>
          <w:rFonts w:hint="eastAsia"/>
          <w:lang w:val="en-US" w:eastAsia="zh-CN"/>
        </w:rPr>
        <w:t xml:space="preserve">: for the ACLR requirement, propose to consider the performance balance between ACLR and EVM requirement instead of treating these two requirement separately. </w:t>
      </w:r>
    </w:p>
    <w:p w14:paraId="651A0DEB">
      <w:pPr>
        <w:rPr>
          <w:rFonts w:hint="eastAsia"/>
          <w:lang w:val="en-US" w:eastAsia="zh-CN"/>
        </w:rPr>
      </w:pPr>
    </w:p>
    <w:p w14:paraId="54C572A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2.3.6. Enhancement conformance testing for U6GHz EEIRP mask</w:t>
      </w:r>
    </w:p>
    <w:p w14:paraId="2A4BD95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b w:val="0"/>
          <w:bCs w:val="0"/>
          <w:lang w:val="en-US" w:eastAsia="zh-CN"/>
        </w:rPr>
      </w:pPr>
      <w:r>
        <w:rPr>
          <w:rFonts w:hint="eastAsia"/>
          <w:b w:val="0"/>
          <w:bCs w:val="0"/>
          <w:lang w:val="en-US" w:eastAsia="zh-CN"/>
        </w:rPr>
        <w:t>In the Rel-19, U6GHz EEIRP mask was introduced for NR BS and NCR with the following test beam distributed equally within the declared beam steer range as shown in Figure 2.3.6-1.</w:t>
      </w:r>
    </w:p>
    <w:p w14:paraId="43E87C1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m:oMathPara>
        <m:oMath>
          <m:r>
            <m:rPr/>
            <w:rPr>
              <w:rFonts w:ascii="Cambria Math" w:hAnsi="Cambria Math" w:cs="Arial"/>
              <w:color w:val="000000"/>
              <w:lang w:val="en-US"/>
            </w:rPr>
            <m:t>EEIRP</m:t>
          </m:r>
          <m:d>
            <m:dPr>
              <m:ctrlPr>
                <w:rPr>
                  <w:rFonts w:ascii="Cambria Math" w:hAnsi="Cambria Math" w:cs="Arial"/>
                  <w:i/>
                  <w:color w:val="000000"/>
                  <w:lang w:val="en-US"/>
                </w:rPr>
              </m:ctrlPr>
            </m:dPr>
            <m:e>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HLi</m:t>
                  </m:r>
                  <m:ctrlPr>
                    <w:rPr>
                      <w:rFonts w:ascii="Cambria Math" w:hAnsi="Cambria Math" w:eastAsia="Cambria"/>
                      <w:i/>
                      <w:color w:val="000000"/>
                      <w:lang w:val="en-US"/>
                    </w:rPr>
                  </m:ctrlPr>
                </m:sub>
              </m:sSub>
              <m:r>
                <m:rPr/>
                <w:rPr>
                  <w:rFonts w:ascii="Cambria Math" w:hAnsi="Cambria Math" w:eastAsia="Cambria"/>
                  <w:color w:val="000000"/>
                  <w:lang w:val="en-US"/>
                </w:rPr>
                <m:t xml:space="preserve"> , </m:t>
              </m:r>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HHi</m:t>
                  </m:r>
                  <m:ctrlPr>
                    <w:rPr>
                      <w:rFonts w:ascii="Cambria Math" w:hAnsi="Cambria Math" w:eastAsia="Cambria"/>
                      <w:i/>
                      <w:color w:val="000000"/>
                      <w:lang w:val="en-US"/>
                    </w:rPr>
                  </m:ctrlPr>
                </m:sub>
              </m:sSub>
              <m:ctrlPr>
                <w:rPr>
                  <w:rFonts w:ascii="Cambria Math" w:hAnsi="Cambria Math" w:cs="Arial"/>
                  <w:i/>
                  <w:color w:val="000000"/>
                  <w:lang w:val="en-US"/>
                </w:rPr>
              </m:ctrlPr>
            </m:e>
          </m:d>
          <m:r>
            <m:rPr/>
            <w:rPr>
              <w:rFonts w:ascii="Cambria Math" w:hAnsi="Cambria Math" w:cs="Arial"/>
              <w:color w:val="000000"/>
              <w:lang w:val="en-US"/>
            </w:rPr>
            <m:t>=</m:t>
          </m:r>
          <m:f>
            <m:fPr>
              <m:ctrlPr>
                <w:rPr>
                  <w:rFonts w:ascii="Cambria Math" w:hAnsi="Cambria Math" w:eastAsia="Cambria"/>
                  <w:i/>
                  <w:iCs/>
                  <w:color w:val="000000"/>
                  <w:lang w:val="en-US"/>
                </w:rPr>
              </m:ctrlPr>
            </m:fPr>
            <m:num>
              <m:r>
                <m:rPr/>
                <w:rPr>
                  <w:rFonts w:ascii="Cambria Math" w:hAnsi="Cambria Math" w:eastAsia="Cambria"/>
                  <w:color w:val="000000"/>
                  <w:lang w:val="en-US"/>
                </w:rPr>
                <m:t>(</m:t>
              </m:r>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HHi</m:t>
                  </m:r>
                  <m:ctrlPr>
                    <w:rPr>
                      <w:rFonts w:ascii="Cambria Math" w:hAnsi="Cambria Math" w:eastAsia="Cambria"/>
                      <w:i/>
                      <w:color w:val="000000"/>
                      <w:lang w:val="en-US"/>
                    </w:rPr>
                  </m:ctrlPr>
                </m:sub>
              </m:sSub>
              <m:r>
                <m:rPr/>
                <w:rPr>
                  <w:rFonts w:ascii="Cambria Math" w:hAnsi="Cambria Math" w:eastAsia="Cambria"/>
                  <w:color w:val="000000"/>
                  <w:lang w:val="en-US"/>
                </w:rPr>
                <m:t>−</m:t>
              </m:r>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HLi</m:t>
                  </m:r>
                  <m:ctrlPr>
                    <w:rPr>
                      <w:rFonts w:ascii="Cambria Math" w:hAnsi="Cambria Math" w:eastAsia="Cambria"/>
                      <w:i/>
                      <w:color w:val="000000"/>
                      <w:lang w:val="en-US"/>
                    </w:rPr>
                  </m:ctrlPr>
                </m:sub>
              </m:sSub>
              <m:r>
                <m:rPr/>
                <w:rPr>
                  <w:rFonts w:ascii="Cambria Math" w:hAnsi="Cambria Math" w:eastAsia="Cambria"/>
                  <w:color w:val="000000"/>
                  <w:lang w:val="en-US"/>
                </w:rPr>
                <m:t>)×</m:t>
              </m:r>
              <m:f>
                <m:fPr>
                  <m:ctrlPr>
                    <w:rPr>
                      <w:rFonts w:ascii="Cambria Math" w:hAnsi="Cambria Math" w:eastAsia="Cambria"/>
                      <w:i/>
                      <w:color w:val="000000"/>
                      <w:lang w:val="en-US"/>
                    </w:rPr>
                  </m:ctrlPr>
                </m:fPr>
                <m:num>
                  <m:r>
                    <m:rPr/>
                    <w:rPr>
                      <w:rFonts w:ascii="Cambria Math" w:hAnsi="Cambria Math" w:eastAsia="Cambria"/>
                      <w:color w:val="000000"/>
                      <w:lang w:val="en-US"/>
                    </w:rPr>
                    <m:t>π</m:t>
                  </m:r>
                  <m:ctrlPr>
                    <w:rPr>
                      <w:rFonts w:ascii="Cambria Math" w:hAnsi="Cambria Math" w:eastAsia="Cambria"/>
                      <w:i/>
                      <w:color w:val="000000"/>
                      <w:lang w:val="en-US"/>
                    </w:rPr>
                  </m:ctrlPr>
                </m:num>
                <m:den>
                  <m:r>
                    <m:rPr/>
                    <w:rPr>
                      <w:rFonts w:ascii="Cambria Math" w:hAnsi="Cambria Math" w:eastAsia="Cambria"/>
                      <w:color w:val="000000"/>
                      <w:lang w:val="en-US"/>
                    </w:rPr>
                    <m:t>180°</m:t>
                  </m:r>
                  <m:ctrlPr>
                    <w:rPr>
                      <w:rFonts w:ascii="Cambria Math" w:hAnsi="Cambria Math" w:eastAsia="Cambria"/>
                      <w:i/>
                      <w:color w:val="000000"/>
                      <w:lang w:val="en-US"/>
                    </w:rPr>
                  </m:ctrlPr>
                </m:den>
              </m:f>
              <m:ctrlPr>
                <w:rPr>
                  <w:rFonts w:ascii="Cambria Math" w:hAnsi="Cambria Math" w:eastAsia="Cambria"/>
                  <w:i/>
                  <w:iCs/>
                  <w:color w:val="000000"/>
                  <w:lang w:val="en-US"/>
                </w:rPr>
              </m:ctrlPr>
            </m:num>
            <m:den>
              <m:r>
                <m:rPr/>
                <w:rPr>
                  <w:rFonts w:ascii="Cambria Math" w:hAnsi="Cambria Math" w:cs="Arial"/>
                  <w:color w:val="000000"/>
                  <w:lang w:val="en-US"/>
                </w:rPr>
                <m:t>MN</m:t>
              </m:r>
              <m:d>
                <m:dPr>
                  <m:ctrlPr>
                    <w:rPr>
                      <w:rFonts w:ascii="Cambria Math" w:hAnsi="Cambria Math" w:eastAsia="Cambria"/>
                      <w:i/>
                      <w:iCs/>
                      <w:color w:val="000000"/>
                      <w:lang w:val="en-US"/>
                    </w:rPr>
                  </m:ctrlPr>
                </m:dPr>
                <m:e>
                  <m:r>
                    <m:rPr/>
                    <w:rPr>
                      <w:rFonts w:ascii="Cambria Math" w:hAnsi="Cambria Math" w:cs="Arial"/>
                      <w:color w:val="000000"/>
                      <w:lang w:val="en-US"/>
                    </w:rPr>
                    <m:t>sin</m:t>
                  </m:r>
                  <m:sSub>
                    <m:sSubPr>
                      <m:ctrlPr>
                        <w:rPr>
                          <w:rFonts w:ascii="Cambria Math" w:hAnsi="Cambria Math" w:eastAsia="Cambria"/>
                          <w:i/>
                          <w:iCs/>
                          <w:color w:val="000000"/>
                          <w:lang w:val="en-US"/>
                        </w:rPr>
                      </m:ctrlPr>
                    </m:sSubPr>
                    <m:e>
                      <m:r>
                        <m:rPr/>
                        <w:rPr>
                          <w:rFonts w:ascii="Cambria Math" w:hAnsi="Cambria Math" w:cs="Arial"/>
                          <w:color w:val="000000"/>
                          <w:lang w:val="en-US"/>
                        </w:rPr>
                        <m:t>θ</m:t>
                      </m:r>
                      <m:ctrlPr>
                        <w:rPr>
                          <w:rFonts w:ascii="Cambria Math" w:hAnsi="Cambria Math" w:eastAsia="Cambria"/>
                          <w:i/>
                          <w:iCs/>
                          <w:color w:val="000000"/>
                          <w:lang w:val="en-US"/>
                        </w:rPr>
                      </m:ctrlPr>
                    </m:e>
                    <m:sub>
                      <m:r>
                        <m:rPr/>
                        <w:rPr>
                          <w:rFonts w:ascii="Cambria Math" w:hAnsi="Cambria Math" w:cs="Arial"/>
                          <w:color w:val="000000"/>
                          <w:lang w:val="en-US"/>
                        </w:rPr>
                        <m:t>HHi</m:t>
                      </m:r>
                      <m:ctrlPr>
                        <w:rPr>
                          <w:rFonts w:ascii="Cambria Math" w:hAnsi="Cambria Math" w:eastAsia="Cambria"/>
                          <w:i/>
                          <w:iCs/>
                          <w:color w:val="000000"/>
                          <w:lang w:val="en-US"/>
                        </w:rPr>
                      </m:ctrlPr>
                    </m:sub>
                  </m:sSub>
                  <m:r>
                    <m:rPr/>
                    <w:rPr>
                      <w:rFonts w:ascii="Cambria Math" w:hAnsi="Cambria Math" w:cs="Arial"/>
                      <w:color w:val="000000"/>
                      <w:lang w:val="en-US"/>
                    </w:rPr>
                    <m:t>−sin</m:t>
                  </m:r>
                  <m:sSub>
                    <m:sSubPr>
                      <m:ctrlPr>
                        <w:rPr>
                          <w:rFonts w:ascii="Cambria Math" w:hAnsi="Cambria Math" w:eastAsia="Cambria"/>
                          <w:i/>
                          <w:iCs/>
                          <w:color w:val="000000"/>
                          <w:lang w:val="en-US"/>
                        </w:rPr>
                      </m:ctrlPr>
                    </m:sSubPr>
                    <m:e>
                      <m:r>
                        <m:rPr/>
                        <w:rPr>
                          <w:rFonts w:ascii="Cambria Math" w:hAnsi="Cambria Math" w:cs="Arial"/>
                          <w:color w:val="000000"/>
                          <w:lang w:val="en-US"/>
                        </w:rPr>
                        <m:t>θ</m:t>
                      </m:r>
                      <m:ctrlPr>
                        <w:rPr>
                          <w:rFonts w:ascii="Cambria Math" w:hAnsi="Cambria Math" w:eastAsia="Cambria"/>
                          <w:i/>
                          <w:iCs/>
                          <w:color w:val="000000"/>
                          <w:lang w:val="en-US"/>
                        </w:rPr>
                      </m:ctrlPr>
                    </m:e>
                    <m:sub>
                      <m:r>
                        <m:rPr/>
                        <w:rPr>
                          <w:rFonts w:ascii="Cambria Math" w:hAnsi="Cambria Math" w:cs="Arial"/>
                          <w:color w:val="000000"/>
                          <w:lang w:val="en-US"/>
                        </w:rPr>
                        <m:t>HLi</m:t>
                      </m:r>
                      <m:ctrlPr>
                        <w:rPr>
                          <w:rFonts w:ascii="Cambria Math" w:hAnsi="Cambria Math" w:eastAsia="Cambria"/>
                          <w:i/>
                          <w:iCs/>
                          <w:color w:val="000000"/>
                          <w:lang w:val="en-US"/>
                        </w:rPr>
                      </m:ctrlPr>
                    </m:sub>
                  </m:sSub>
                  <m:ctrlPr>
                    <w:rPr>
                      <w:rFonts w:ascii="Cambria Math" w:hAnsi="Cambria Math" w:eastAsia="Cambria"/>
                      <w:i/>
                      <w:iCs/>
                      <w:color w:val="000000"/>
                      <w:lang w:val="en-US"/>
                    </w:rPr>
                  </m:ctrlPr>
                </m:e>
              </m:d>
              <m:ctrlPr>
                <w:rPr>
                  <w:rFonts w:ascii="Cambria Math" w:hAnsi="Cambria Math" w:eastAsia="Cambria"/>
                  <w:i/>
                  <w:iCs/>
                  <w:color w:val="000000"/>
                  <w:lang w:val="en-US"/>
                </w:rPr>
              </m:ctrlPr>
            </m:den>
          </m:f>
          <m:nary>
            <m:naryPr>
              <m:chr m:val="∑"/>
              <m:limLoc m:val="subSup"/>
              <m:ctrlPr>
                <w:rPr>
                  <w:rFonts w:ascii="Cambria Math" w:hAnsi="Cambria Math" w:eastAsia="Cambria"/>
                  <w:i/>
                  <w:iCs/>
                  <w:color w:val="000000"/>
                  <w:lang w:val="en-US"/>
                </w:rPr>
              </m:ctrlPr>
            </m:naryPr>
            <m:sub>
              <m:r>
                <m:rPr/>
                <w:rPr>
                  <w:rFonts w:ascii="Cambria Math" w:hAnsi="Cambria Math" w:eastAsia="Cambria"/>
                  <w:color w:val="000000"/>
                  <w:lang w:val="en-US"/>
                </w:rPr>
                <m:t>n=</m:t>
              </m:r>
              <m:sSub>
                <m:sSubPr>
                  <m:ctrlPr>
                    <w:rPr>
                      <w:rFonts w:ascii="Cambria Math" w:hAnsi="Cambria Math" w:eastAsia="Cambria"/>
                      <w:i/>
                      <w:iCs/>
                      <w:color w:val="000000"/>
                      <w:lang w:val="en-US"/>
                    </w:rPr>
                  </m:ctrlPr>
                </m:sSubPr>
                <m:e>
                  <m:r>
                    <m:rPr/>
                    <w:rPr>
                      <w:rFonts w:ascii="Cambria Math" w:hAnsi="Cambria Math" w:eastAsia="Cambria"/>
                      <w:color w:val="000000"/>
                      <w:lang w:val="en-US"/>
                    </w:rPr>
                    <m:t>n</m:t>
                  </m:r>
                  <m:ctrlPr>
                    <w:rPr>
                      <w:rFonts w:ascii="Cambria Math" w:hAnsi="Cambria Math" w:eastAsia="Cambria"/>
                      <w:i/>
                      <w:iCs/>
                      <w:color w:val="000000"/>
                      <w:lang w:val="en-US"/>
                    </w:rPr>
                  </m:ctrlPr>
                </m:e>
                <m:sub>
                  <m:r>
                    <m:rPr/>
                    <w:rPr>
                      <w:rFonts w:ascii="Cambria Math" w:hAnsi="Cambria Math" w:eastAsia="Cambria"/>
                      <w:color w:val="000000"/>
                      <w:lang w:val="en-US"/>
                    </w:rPr>
                    <m:t>L</m:t>
                  </m:r>
                  <m:ctrlPr>
                    <w:rPr>
                      <w:rFonts w:ascii="Cambria Math" w:hAnsi="Cambria Math" w:eastAsia="Cambria"/>
                      <w:i/>
                      <w:iCs/>
                      <w:color w:val="000000"/>
                      <w:lang w:val="en-US"/>
                    </w:rPr>
                  </m:ctrlPr>
                </m:sub>
              </m:sSub>
              <m:ctrlPr>
                <w:rPr>
                  <w:rFonts w:ascii="Cambria Math" w:hAnsi="Cambria Math" w:eastAsia="Cambria"/>
                  <w:i/>
                  <w:iCs/>
                  <w:color w:val="000000"/>
                  <w:lang w:val="en-US"/>
                </w:rPr>
              </m:ctrlPr>
            </m:sub>
            <m:sup>
              <m:sSub>
                <m:sSubPr>
                  <m:ctrlPr>
                    <w:rPr>
                      <w:rFonts w:ascii="Cambria Math" w:hAnsi="Cambria Math" w:eastAsia="Cambria"/>
                      <w:i/>
                      <w:iCs/>
                      <w:color w:val="000000"/>
                      <w:lang w:val="en-US"/>
                    </w:rPr>
                  </m:ctrlPr>
                </m:sSubPr>
                <m:e>
                  <m:r>
                    <m:rPr/>
                    <w:rPr>
                      <w:rFonts w:ascii="Cambria Math" w:hAnsi="Cambria Math" w:eastAsia="Cambria"/>
                      <w:color w:val="000000"/>
                      <w:lang w:val="en-US"/>
                    </w:rPr>
                    <m:t>n</m:t>
                  </m:r>
                  <m:ctrlPr>
                    <w:rPr>
                      <w:rFonts w:ascii="Cambria Math" w:hAnsi="Cambria Math" w:eastAsia="Cambria"/>
                      <w:i/>
                      <w:iCs/>
                      <w:color w:val="000000"/>
                      <w:lang w:val="en-US"/>
                    </w:rPr>
                  </m:ctrlPr>
                </m:e>
                <m:sub>
                  <m:r>
                    <m:rPr/>
                    <w:rPr>
                      <w:rFonts w:ascii="Cambria Math" w:hAnsi="Cambria Math" w:eastAsia="Cambria"/>
                      <w:color w:val="000000"/>
                      <w:lang w:val="en-US"/>
                    </w:rPr>
                    <m:t>H</m:t>
                  </m:r>
                  <m:ctrlPr>
                    <w:rPr>
                      <w:rFonts w:ascii="Cambria Math" w:hAnsi="Cambria Math" w:eastAsia="Cambria"/>
                      <w:i/>
                      <w:iCs/>
                      <w:color w:val="000000"/>
                      <w:lang w:val="en-US"/>
                    </w:rPr>
                  </m:ctrlPr>
                </m:sub>
              </m:sSub>
              <m:ctrlPr>
                <w:rPr>
                  <w:rFonts w:ascii="Cambria Math" w:hAnsi="Cambria Math" w:eastAsia="Cambria"/>
                  <w:i/>
                  <w:iCs/>
                  <w:color w:val="000000"/>
                  <w:lang w:val="en-US"/>
                </w:rPr>
              </m:ctrlPr>
            </m:sup>
            <m:e>
              <m:nary>
                <m:naryPr>
                  <m:chr m:val="∑"/>
                  <m:limLoc m:val="subSup"/>
                  <m:ctrlPr>
                    <w:rPr>
                      <w:rFonts w:ascii="Cambria Math" w:hAnsi="Cambria Math" w:eastAsia="Cambria"/>
                      <w:i/>
                      <w:iCs/>
                      <w:color w:val="000000"/>
                      <w:lang w:val="en-US"/>
                    </w:rPr>
                  </m:ctrlPr>
                </m:naryPr>
                <m:sub>
                  <m:r>
                    <m:rPr/>
                    <w:rPr>
                      <w:rFonts w:ascii="Cambria Math" w:hAnsi="Cambria Math" w:eastAsia="Cambria"/>
                      <w:color w:val="000000"/>
                      <w:lang w:val="en-US"/>
                    </w:rPr>
                    <m:t>m=1</m:t>
                  </m:r>
                  <m:ctrlPr>
                    <w:rPr>
                      <w:rFonts w:ascii="Cambria Math" w:hAnsi="Cambria Math" w:eastAsia="Cambria"/>
                      <w:i/>
                      <w:iCs/>
                      <w:color w:val="000000"/>
                      <w:lang w:val="en-US"/>
                    </w:rPr>
                  </m:ctrlPr>
                </m:sub>
                <m:sup>
                  <m:r>
                    <m:rPr/>
                    <w:rPr>
                      <w:rFonts w:ascii="Cambria Math" w:hAnsi="Cambria Math" w:eastAsia="Cambria"/>
                      <w:color w:val="000000"/>
                      <w:lang w:val="en-US"/>
                    </w:rPr>
                    <m:t>M</m:t>
                  </m:r>
                  <m:ctrlPr>
                    <w:rPr>
                      <w:rFonts w:ascii="Cambria Math" w:hAnsi="Cambria Math" w:eastAsia="Cambria"/>
                      <w:i/>
                      <w:iCs/>
                      <w:color w:val="000000"/>
                      <w:lang w:val="en-US"/>
                    </w:rPr>
                  </m:ctrlPr>
                </m:sup>
                <m:e>
                  <m:acc>
                    <m:accPr>
                      <m:chr m:val="̅"/>
                      <m:ctrlPr>
                        <w:rPr>
                          <w:rFonts w:ascii="Cambria Math" w:hAnsi="Cambria Math" w:eastAsia="Cambria"/>
                          <w:i/>
                          <w:color w:val="000000"/>
                          <w:lang w:val="en-US"/>
                        </w:rPr>
                      </m:ctrlPr>
                    </m:accPr>
                    <m:e>
                      <m:r>
                        <m:rPr/>
                        <w:rPr>
                          <w:rFonts w:ascii="Cambria Math" w:hAnsi="Cambria Math" w:eastAsia="Cambria"/>
                          <w:color w:val="000000"/>
                          <w:lang w:val="en-US"/>
                        </w:rPr>
                        <m:t>EIRP</m:t>
                      </m:r>
                      <m:ctrlPr>
                        <w:rPr>
                          <w:rFonts w:ascii="Cambria Math" w:hAnsi="Cambria Math" w:eastAsia="Cambria"/>
                          <w:i/>
                          <w:color w:val="000000"/>
                          <w:lang w:val="en-US"/>
                        </w:rPr>
                      </m:ctrlPr>
                    </m:e>
                  </m:acc>
                  <m:d>
                    <m:dPr>
                      <m:ctrlPr>
                        <w:rPr>
                          <w:rFonts w:ascii="Cambria Math" w:hAnsi="Cambria Math" w:eastAsia="Cambria"/>
                          <w:i/>
                          <w:iCs/>
                          <w:color w:val="000000"/>
                          <w:lang w:val="en-US"/>
                        </w:rPr>
                      </m:ctrlPr>
                    </m:dPr>
                    <m:e>
                      <m:sSub>
                        <m:sSubPr>
                          <m:ctrlPr>
                            <w:rPr>
                              <w:rFonts w:ascii="Cambria Math" w:hAnsi="Cambria Math" w:cs="Arial"/>
                              <w:i/>
                              <w:color w:val="000000"/>
                              <w:lang w:val="en-US"/>
                            </w:rPr>
                          </m:ctrlPr>
                        </m:sSubPr>
                        <m:e>
                          <m:r>
                            <m:rPr/>
                            <w:rPr>
                              <w:rFonts w:ascii="Cambria Math" w:hAnsi="Cambria Math" w:cs="Arial"/>
                              <w:color w:val="000000"/>
                              <w:lang w:val="en-US"/>
                            </w:rPr>
                            <m:t>θ</m:t>
                          </m:r>
                          <m:ctrlPr>
                            <w:rPr>
                              <w:rFonts w:ascii="Cambria Math" w:hAnsi="Cambria Math" w:cs="Arial"/>
                              <w:i/>
                              <w:color w:val="000000"/>
                              <w:lang w:val="en-US"/>
                            </w:rPr>
                          </m:ctrlPr>
                        </m:e>
                        <m:sub>
                          <m:r>
                            <m:rPr/>
                            <w:rPr>
                              <w:rFonts w:ascii="Cambria Math" w:hAnsi="Cambria Math" w:cs="Arial"/>
                              <w:color w:val="000000"/>
                              <w:lang w:val="en-US"/>
                            </w:rPr>
                            <m:t>n</m:t>
                          </m:r>
                          <m:ctrlPr>
                            <w:rPr>
                              <w:rFonts w:ascii="Cambria Math" w:hAnsi="Cambria Math" w:cs="Arial"/>
                              <w:i/>
                              <w:color w:val="000000"/>
                              <w:lang w:val="en-US"/>
                            </w:rPr>
                          </m:ctrlPr>
                        </m:sub>
                      </m:sSub>
                      <m:r>
                        <m:rPr/>
                        <w:rPr>
                          <w:rFonts w:ascii="Cambria Math" w:hAnsi="Cambria Math" w:cs="Arial"/>
                          <w:color w:val="000000"/>
                          <w:lang w:val="en-US"/>
                        </w:rPr>
                        <m:t>,</m:t>
                      </m:r>
                      <m:sSub>
                        <m:sSubPr>
                          <m:ctrlPr>
                            <w:rPr>
                              <w:rFonts w:ascii="Cambria Math" w:hAnsi="Cambria Math" w:cs="Arial"/>
                              <w:i/>
                              <w:color w:val="000000"/>
                              <w:lang w:val="en-US"/>
                            </w:rPr>
                          </m:ctrlPr>
                        </m:sSubPr>
                        <m:e>
                          <m:r>
                            <m:rPr/>
                            <w:rPr>
                              <w:rFonts w:ascii="Cambria Math" w:hAnsi="Cambria Math" w:cs="Arial"/>
                              <w:color w:val="000000"/>
                              <w:lang w:val="en-US"/>
                            </w:rPr>
                            <m:t>φ</m:t>
                          </m:r>
                          <m:ctrlPr>
                            <w:rPr>
                              <w:rFonts w:ascii="Cambria Math" w:hAnsi="Cambria Math" w:cs="Arial"/>
                              <w:i/>
                              <w:color w:val="000000"/>
                              <w:lang w:val="en-US"/>
                            </w:rPr>
                          </m:ctrlPr>
                        </m:e>
                        <m:sub>
                          <m:r>
                            <m:rPr/>
                            <w:rPr>
                              <w:rFonts w:ascii="Cambria Math" w:hAnsi="Cambria Math" w:cs="Arial"/>
                              <w:color w:val="000000"/>
                              <w:lang w:val="en-US"/>
                            </w:rPr>
                            <m:t>m</m:t>
                          </m:r>
                          <m:ctrlPr>
                            <w:rPr>
                              <w:rFonts w:ascii="Cambria Math" w:hAnsi="Cambria Math" w:cs="Arial"/>
                              <w:i/>
                              <w:color w:val="000000"/>
                              <w:lang w:val="en-US"/>
                            </w:rPr>
                          </m:ctrlPr>
                        </m:sub>
                      </m:sSub>
                      <m:ctrlPr>
                        <w:rPr>
                          <w:rFonts w:ascii="Cambria Math" w:hAnsi="Cambria Math" w:eastAsia="Cambria"/>
                          <w:i/>
                          <w:iCs/>
                          <w:color w:val="000000"/>
                          <w:lang w:val="en-US"/>
                        </w:rPr>
                      </m:ctrlPr>
                    </m:e>
                  </m:d>
                  <m:r>
                    <m:rPr/>
                    <w:rPr>
                      <w:rFonts w:ascii="Cambria Math" w:hAnsi="Cambria Math" w:cs="Arial"/>
                      <w:color w:val="000000"/>
                      <w:lang w:val="en-US"/>
                    </w:rPr>
                    <m:t xml:space="preserve"> cos</m:t>
                  </m:r>
                  <m:d>
                    <m:dPr>
                      <m:ctrlPr>
                        <w:rPr>
                          <w:rFonts w:ascii="Cambria Math" w:hAnsi="Cambria Math"/>
                          <w:i/>
                          <w:color w:val="000000"/>
                          <w:lang w:val="en-US"/>
                        </w:rPr>
                      </m:ctrlPr>
                    </m:dPr>
                    <m:e>
                      <m:sSub>
                        <m:sSubPr>
                          <m:ctrlPr>
                            <w:rPr>
                              <w:rFonts w:ascii="Cambria Math" w:hAnsi="Cambria Math" w:cs="Arial"/>
                              <w:i/>
                              <w:color w:val="000000"/>
                              <w:lang w:val="en-US"/>
                            </w:rPr>
                          </m:ctrlPr>
                        </m:sSubPr>
                        <m:e>
                          <m:r>
                            <m:rPr/>
                            <w:rPr>
                              <w:rFonts w:ascii="Cambria Math" w:hAnsi="Cambria Math" w:cs="Arial"/>
                              <w:color w:val="000000"/>
                              <w:lang w:val="en-US"/>
                            </w:rPr>
                            <m:t>θ</m:t>
                          </m:r>
                          <m:ctrlPr>
                            <w:rPr>
                              <w:rFonts w:ascii="Cambria Math" w:hAnsi="Cambria Math" w:cs="Arial"/>
                              <w:i/>
                              <w:color w:val="000000"/>
                              <w:lang w:val="en-US"/>
                            </w:rPr>
                          </m:ctrlPr>
                        </m:e>
                        <m:sub>
                          <m:r>
                            <m:rPr/>
                            <w:rPr>
                              <w:rFonts w:ascii="Cambria Math" w:hAnsi="Cambria Math" w:cs="Arial"/>
                              <w:color w:val="000000"/>
                              <w:lang w:val="en-US"/>
                            </w:rPr>
                            <m:t>n</m:t>
                          </m:r>
                          <m:ctrlPr>
                            <w:rPr>
                              <w:rFonts w:ascii="Cambria Math" w:hAnsi="Cambria Math" w:cs="Arial"/>
                              <w:i/>
                              <w:color w:val="000000"/>
                              <w:lang w:val="en-US"/>
                            </w:rPr>
                          </m:ctrlPr>
                        </m:sub>
                      </m:sSub>
                      <m:ctrlPr>
                        <w:rPr>
                          <w:rFonts w:ascii="Cambria Math" w:hAnsi="Cambria Math"/>
                          <w:i/>
                          <w:color w:val="000000"/>
                          <w:lang w:val="en-US"/>
                        </w:rPr>
                      </m:ctrlPr>
                    </m:e>
                  </m:d>
                  <m:ctrlPr>
                    <w:rPr>
                      <w:rFonts w:ascii="Cambria Math" w:hAnsi="Cambria Math" w:eastAsia="Cambria"/>
                      <w:i/>
                      <w:iCs/>
                      <w:color w:val="000000"/>
                      <w:lang w:val="en-US"/>
                    </w:rPr>
                  </m:ctrlPr>
                </m:e>
              </m:nary>
              <m:ctrlPr>
                <w:rPr>
                  <w:rFonts w:ascii="Cambria Math" w:hAnsi="Cambria Math" w:eastAsia="Cambria"/>
                  <w:i/>
                  <w:iCs/>
                  <w:color w:val="000000"/>
                  <w:lang w:val="en-US"/>
                </w:rPr>
              </m:ctrlPr>
            </m:e>
          </m:nary>
          <m:r>
            <m:rPr/>
            <w:rPr>
              <w:rFonts w:ascii="Cambria Math" w:hAnsi="Cambria Math" w:eastAsiaTheme="minorEastAsia"/>
              <w:color w:val="000000"/>
              <w:lang w:val="en-US"/>
            </w:rPr>
            <m:t xml:space="preserve">    ,      </m:t>
          </m:r>
        </m:oMath>
      </m:oMathPara>
    </w:p>
    <w:p w14:paraId="3CB12034">
      <w:pPr>
        <w:pStyle w:val="48"/>
        <w:jc w:val="center"/>
      </w:pPr>
      <w:r>
        <w:rPr>
          <w:b w:val="0"/>
        </w:rPr>
        <w:drawing>
          <wp:inline distT="0" distB="0" distL="0" distR="0">
            <wp:extent cx="4867275" cy="2126615"/>
            <wp:effectExtent l="0" t="0" r="0" b="6985"/>
            <wp:docPr id="1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IMG_256"/>
                    <pic:cNvPicPr>
                      <a:picLocks noChangeAspect="1"/>
                    </pic:cNvPicPr>
                  </pic:nvPicPr>
                  <pic:blipFill>
                    <a:blip r:embed="rId23"/>
                    <a:stretch>
                      <a:fillRect/>
                    </a:stretch>
                  </pic:blipFill>
                  <pic:spPr>
                    <a:xfrm>
                      <a:off x="0" y="0"/>
                      <a:ext cx="4902216" cy="2141665"/>
                    </a:xfrm>
                    <a:prstGeom prst="rect">
                      <a:avLst/>
                    </a:prstGeom>
                    <a:noFill/>
                    <a:ln w="9525">
                      <a:noFill/>
                    </a:ln>
                  </pic:spPr>
                </pic:pic>
              </a:graphicData>
            </a:graphic>
          </wp:inline>
        </w:drawing>
      </w:r>
    </w:p>
    <w:p w14:paraId="2D595664">
      <w:pPr>
        <w:jc w:val="center"/>
        <w:rPr>
          <w:rFonts w:hint="eastAsia"/>
          <w:lang w:val="en-US" w:eastAsia="zh-CN"/>
        </w:rPr>
      </w:pPr>
      <w:r>
        <w:rPr>
          <w:rFonts w:hint="eastAsia"/>
          <w:lang w:val="en-US" w:eastAsia="zh-CN"/>
        </w:rPr>
        <w:t xml:space="preserve">Table 2.3.6-1. The illustration of </w:t>
      </w:r>
      <w:r>
        <w:rPr>
          <w:lang w:val="en-US"/>
        </w:rPr>
        <w:t>test beam set</w:t>
      </w:r>
      <w:r>
        <w:rPr>
          <w:rFonts w:hint="eastAsia"/>
          <w:lang w:val="en-US" w:eastAsia="zh-CN"/>
        </w:rPr>
        <w:t xml:space="preserve"> for U6GHz BS EEIRP mask</w:t>
      </w:r>
    </w:p>
    <w:p w14:paraId="25E10A8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val="0"/>
          <w:bCs w:val="0"/>
          <w:lang w:val="en-US" w:eastAsia="zh-CN"/>
        </w:rPr>
        <w:t>In the Rel-19, the test beams is equally assumed in the specification based on the assumptions of target serving UE also equally distributed within the geographical coverage regions, then the proposed test beam pattern could well mimic the actual BS operation mode. However this might be not always applicable considering the emerging new service (e.g. sensing service or UAV service in the near future to support the low altitude economy, eVTOL, express Delivery based UAV, other sensing use case) as shown in Figure 2.3.6-3.</w:t>
      </w:r>
    </w:p>
    <w:p w14:paraId="34CB84D8">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260465" cy="1007745"/>
            <wp:effectExtent l="0" t="0" r="6985"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4"/>
                    <a:stretch>
                      <a:fillRect/>
                    </a:stretch>
                  </pic:blipFill>
                  <pic:spPr>
                    <a:xfrm>
                      <a:off x="0" y="0"/>
                      <a:ext cx="6260465" cy="1007745"/>
                    </a:xfrm>
                    <a:prstGeom prst="rect">
                      <a:avLst/>
                    </a:prstGeom>
                    <a:noFill/>
                    <a:ln w="9525">
                      <a:noFill/>
                    </a:ln>
                  </pic:spPr>
                </pic:pic>
              </a:graphicData>
            </a:graphic>
          </wp:inline>
        </w:drawing>
      </w:r>
    </w:p>
    <w:p w14:paraId="02FB46A1">
      <w:pPr>
        <w:jc w:val="center"/>
        <w:rPr>
          <w:rFonts w:hint="eastAsia"/>
          <w:lang w:val="en-US" w:eastAsia="zh-CN"/>
        </w:rPr>
      </w:pPr>
      <w:r>
        <w:rPr>
          <w:rFonts w:hint="eastAsia"/>
          <w:lang w:val="en-US" w:eastAsia="zh-CN"/>
        </w:rPr>
        <w:t>Table 2.3.6-2. The illustration of the operation beams equally distributed across different slots</w:t>
      </w:r>
    </w:p>
    <w:p w14:paraId="5C8537C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val="0"/>
          <w:bCs w:val="0"/>
          <w:lang w:val="en-US" w:eastAsia="zh-CN"/>
        </w:rPr>
        <w:t xml:space="preserve">As shown in Figure 2.3.6-3, operation beam in red color in slot 2 in certain periodicity is intended to provide the service for sensing or UAV service, this is obvious that the weighting factor and probability of such kind of sensing/UAV beams is expected to be more sparse and different from the other communication beams. Therefore, for the conformance testing of U6GHz EEIRP mask in 6G phase, we </w:t>
      </w:r>
      <w:r>
        <w:rPr>
          <w:rFonts w:hint="eastAsia"/>
          <w:lang w:val="en-US" w:eastAsia="zh-CN"/>
        </w:rPr>
        <w:t>propose to consider the unequally distributed test beams across the whole coverage regions (e.g. 6GR BS need to provide the sensing or UAV service with periodic beams steering upwards) in addition to the equally distributed test beams in Rel-19.</w:t>
      </w:r>
    </w:p>
    <w:p w14:paraId="729AAA31">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260465" cy="1208405"/>
            <wp:effectExtent l="0" t="0" r="6985" b="11430"/>
            <wp:docPr id="1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IMG_256"/>
                    <pic:cNvPicPr>
                      <a:picLocks noChangeAspect="1"/>
                    </pic:cNvPicPr>
                  </pic:nvPicPr>
                  <pic:blipFill>
                    <a:blip r:embed="rId25"/>
                    <a:stretch>
                      <a:fillRect/>
                    </a:stretch>
                  </pic:blipFill>
                  <pic:spPr>
                    <a:xfrm>
                      <a:off x="0" y="0"/>
                      <a:ext cx="6260465" cy="1208405"/>
                    </a:xfrm>
                    <a:prstGeom prst="rect">
                      <a:avLst/>
                    </a:prstGeom>
                    <a:noFill/>
                    <a:ln w="9525">
                      <a:noFill/>
                    </a:ln>
                  </pic:spPr>
                </pic:pic>
              </a:graphicData>
            </a:graphic>
          </wp:inline>
        </w:drawing>
      </w:r>
    </w:p>
    <w:p w14:paraId="38262805">
      <w:pPr>
        <w:jc w:val="center"/>
        <w:rPr>
          <w:rFonts w:hint="default"/>
          <w:lang w:val="en-US" w:eastAsia="zh-CN"/>
        </w:rPr>
      </w:pPr>
      <w:r>
        <w:rPr>
          <w:rFonts w:hint="eastAsia"/>
          <w:lang w:val="en-US" w:eastAsia="zh-CN"/>
        </w:rPr>
        <w:t>Table 2.3.6-3. The illustration of the operation beams unequally distributed across different slots (e.g. to provide the sensing or UAV service with periodic beams steering upwards)</w:t>
      </w:r>
      <m:oMath>
        <m:r>
          <m:rPr/>
          <w:rPr>
            <w:rFonts w:ascii="Cambria Math" w:hAnsi="Cambria Math" w:eastAsiaTheme="minorEastAsia"/>
            <w:color w:val="000000"/>
            <w:lang w:val="en-US"/>
          </w:rPr>
          <m:t xml:space="preserve">                 </m:t>
        </m:r>
      </m:oMath>
    </w:p>
    <w:p w14:paraId="37CC72E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24</w:t>
      </w:r>
      <w:r>
        <w:rPr>
          <w:rFonts w:hint="eastAsia"/>
          <w:highlight w:val="none"/>
          <w:lang w:val="en-US" w:eastAsia="zh-CN"/>
        </w:rPr>
        <w:t>: for the conformance testing of U6GHz EEIRP mask in 6G, propose to consider the unequally distributed test beams across the whole coverage regions from the time domain (e.g. 6GR BS need to provide the sensing or UAV service with periodic beams steering upwards) in addition to the equally distributed test beams in Rel-19.</w:t>
      </w:r>
    </w:p>
    <w:p w14:paraId="351F4F6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2.3.7. UL in-band blocking requirement</w:t>
      </w:r>
    </w:p>
    <w:p w14:paraId="4811CB1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eastAsiaTheme="minorEastAsia"/>
          <w:lang w:val="en-US" w:eastAsia="zh-CN"/>
        </w:rPr>
      </w:pPr>
      <w:r>
        <w:rPr>
          <w:rFonts w:hint="eastAsia" w:eastAsiaTheme="minorEastAsia"/>
          <w:lang w:val="en-US" w:eastAsia="zh-CN"/>
        </w:rPr>
        <w:t>For FR1 in-band blocking requirement -43d</w:t>
      </w:r>
      <w:r>
        <w:rPr>
          <w:rFonts w:hint="eastAsia" w:eastAsiaTheme="minorEastAsia"/>
          <w:lang w:val="en-US" w:eastAsia="zh-CN"/>
        </w:rPr>
        <w:tab/>
      </w:r>
      <w:r>
        <w:rPr>
          <w:rFonts w:hint="eastAsia" w:eastAsiaTheme="minorEastAsia"/>
          <w:lang w:val="en-US" w:eastAsia="zh-CN"/>
        </w:rPr>
        <w:t xml:space="preserve">Bm for FR1 WA BS, it could date back to UTRA phase considering the 99.99% of CDF curve of received power from UTRA UE UL transmission and 99% of CDF curve of received power from E-UTRA UE UL transmission, this requirement was reused for 5G directly without any further evaluation. However considering the various HPUE proposals (e.g. PC2, PC1.5, PC1, ATG UE, UAV HPUE UE) across FR1 TDD/FDD bands, the evolution of RF architecture for FR1 AAS BS (e.g. transition from BS type 1-C to digital beamforming with passive sub-array and hybrid beamforming as mentioned in clause 2.2.1) and increasing operating frequency for FR1 and FR3, therefore we propose to conduct the further study </w:t>
      </w:r>
      <w:r>
        <w:rPr>
          <w:rFonts w:hint="eastAsia"/>
          <w:lang w:val="en-US" w:eastAsia="zh-CN"/>
        </w:rPr>
        <w:t>with more relevant coexistence assumptions to identify the appropriate requirement for 6GR BS.</w:t>
      </w:r>
    </w:p>
    <w:p w14:paraId="33948A2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25</w:t>
      </w:r>
      <w:r>
        <w:rPr>
          <w:rFonts w:hint="eastAsia"/>
          <w:lang w:val="en-US" w:eastAsia="zh-CN"/>
        </w:rPr>
        <w:t>: for in-band blocking requirement of FR1 BS, propose to conduct the further study with more relevant coexistence assumptions to identify the appropriate requirement for 6GR BS.</w:t>
      </w:r>
    </w:p>
    <w:p w14:paraId="5E05D36D">
      <w:pPr>
        <w:rPr>
          <w:rFonts w:hint="eastAsia"/>
          <w:lang w:val="en-US" w:eastAsia="zh-CN"/>
        </w:rPr>
      </w:pPr>
    </w:p>
    <w:p w14:paraId="6EAFEA1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2.3.8. UL out-of-band blocking requirement</w:t>
      </w:r>
    </w:p>
    <w:p w14:paraId="3A3EA00C">
      <w:pPr>
        <w:spacing w:after="0"/>
        <w:jc w:val="left"/>
        <w:rPr>
          <w:rFonts w:hint="default" w:eastAsiaTheme="minorEastAsia"/>
          <w:color w:val="0000FF"/>
          <w:lang w:val="en-US" w:eastAsia="zh-CN"/>
        </w:rPr>
      </w:pPr>
      <w:r>
        <w:rPr>
          <w:rFonts w:hint="eastAsia" w:eastAsiaTheme="minorEastAsia"/>
        </w:rPr>
        <w:t xml:space="preserve">For </w:t>
      </w:r>
      <w:r>
        <w:rPr>
          <w:rFonts w:hint="eastAsia" w:eastAsiaTheme="minorEastAsia"/>
          <w:lang w:val="en-US" w:eastAsia="zh-CN"/>
        </w:rPr>
        <w:t>FR1 out-of-blocking requirement -15dBm, this could date back to UTRA phase due to the WiFi STA or GSM UE2UE CLI analysis e.g.30/33dBm-40dBc MCL-4/5dB body loss=-15dBm. This power level is then applicable for the out-of-blocking requirement from both UE and BS perspective and reused for both 4G and 5G. For 6G SI phase, we think that it is more appropriate to reevaluate this requirement with more realistic deployment assumption and the corresponding operating frequency and worst interference source (e.g. HPUE in UL or BS2BS CLI) causing this kind of blocking signal. It should be noted that the in-band blocking and out-of-blocking requirement play very important role of dimension the size of receiver</w:t>
      </w:r>
      <w:r>
        <w:rPr>
          <w:rFonts w:hint="default" w:eastAsiaTheme="minorEastAsia"/>
          <w:lang w:val="en-US" w:eastAsia="zh-CN"/>
        </w:rPr>
        <w:t>’</w:t>
      </w:r>
      <w:r>
        <w:rPr>
          <w:rFonts w:hint="eastAsia" w:eastAsiaTheme="minorEastAsia"/>
          <w:lang w:val="en-US" w:eastAsia="zh-CN"/>
        </w:rPr>
        <w:t xml:space="preserve">s analog filter which is very critical design for BS supporting massive MIMO operation. </w:t>
      </w:r>
    </w:p>
    <w:p w14:paraId="7ECD498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26</w:t>
      </w:r>
      <w:r>
        <w:rPr>
          <w:rFonts w:hint="eastAsia"/>
          <w:lang w:val="en-US" w:eastAsia="zh-CN"/>
        </w:rPr>
        <w:t>: for out-of-band blocking requirement of FR1 BS, propose to conduct the further study with more relevant coexistence assumptions to identify the appropriate requirement for 6GR BS.</w:t>
      </w:r>
    </w:p>
    <w:p w14:paraId="6B4CB75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p>
    <w:p w14:paraId="0EF53B2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2.3.9. Co-location requirement and coexistence spurious emission requirement</w:t>
      </w:r>
    </w:p>
    <w:p w14:paraId="2054E73A">
      <w:pPr>
        <w:spacing w:after="0"/>
        <w:jc w:val="left"/>
        <w:rPr>
          <w:rFonts w:hint="default" w:eastAsiaTheme="minorEastAsia"/>
          <w:lang w:val="en-US" w:eastAsia="zh-CN"/>
        </w:rPr>
      </w:pPr>
      <w:r>
        <w:rPr>
          <w:rFonts w:hint="eastAsia" w:eastAsiaTheme="minorEastAsia"/>
        </w:rPr>
        <w:t>For th</w:t>
      </w:r>
      <w:r>
        <w:rPr>
          <w:rFonts w:hint="eastAsia" w:eastAsiaTheme="minorEastAsia"/>
          <w:lang w:val="en-US" w:eastAsia="zh-CN"/>
        </w:rPr>
        <w:t xml:space="preserve">e improvement of co-location requirement in FR1 high bands, it was discussed in Rel-19 and the normative work was postponed to Rel-20 BS RF enhancement [4]. For coexistence spurious emission requirement, this is also under the discussion in Rel-19 BS RF enhancement. From our understanding, the improvement for these two requirements in 5G-A phase can also apply for RF requirements of 6GR BS. </w:t>
      </w:r>
    </w:p>
    <w:p w14:paraId="052540A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27</w:t>
      </w:r>
      <w:r>
        <w:rPr>
          <w:rFonts w:hint="eastAsia"/>
          <w:lang w:val="en-US" w:eastAsia="zh-CN"/>
        </w:rPr>
        <w:t>: in order to avoid the parallel discussion on improvement on FR1 c</w:t>
      </w:r>
      <w:r>
        <w:rPr>
          <w:rFonts w:hint="eastAsia"/>
          <w:b w:val="0"/>
          <w:bCs w:val="0"/>
          <w:lang w:val="en-US" w:eastAsia="zh-CN"/>
        </w:rPr>
        <w:t xml:space="preserve">o-location requirements and coexistence spurious emission requirements </w:t>
      </w:r>
      <w:r>
        <w:rPr>
          <w:rFonts w:hint="eastAsia"/>
          <w:lang w:val="en-US" w:eastAsia="zh-CN"/>
        </w:rPr>
        <w:t>between 5G-A and 6GR, propose to wait for the conclusion in 5G-A and make the necessary updates for RF requirements of 6GR BS.</w:t>
      </w:r>
    </w:p>
    <w:p w14:paraId="798D1B35">
      <w:pPr>
        <w:rPr>
          <w:rFonts w:hint="eastAsia"/>
          <w:lang w:val="en-US" w:eastAsia="zh-CN"/>
        </w:rPr>
      </w:pPr>
    </w:p>
    <w:p w14:paraId="62E346A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2.3.10. The transition from BS type 1-H to BS type 1-O</w:t>
      </w:r>
    </w:p>
    <w:p w14:paraId="684E6E16">
      <w:pPr>
        <w:spacing w:after="0"/>
        <w:jc w:val="left"/>
        <w:rPr>
          <w:rFonts w:hint="eastAsia" w:eastAsiaTheme="minorEastAsia"/>
        </w:rPr>
      </w:pPr>
      <w:r>
        <w:rPr>
          <w:rFonts w:hint="eastAsia" w:eastAsiaTheme="minorEastAsia"/>
        </w:rPr>
        <w:t>For the existing BS type 1-H, there are only two radiated requirements specified e.g.</w:t>
      </w:r>
      <w:r>
        <w:rPr>
          <w:rFonts w:hint="eastAsia" w:eastAsiaTheme="minorEastAsia"/>
          <w:lang w:val="en-US" w:eastAsia="zh-CN"/>
        </w:rPr>
        <w:t xml:space="preserve"> </w:t>
      </w:r>
      <w:r>
        <w:rPr>
          <w:rFonts w:hint="eastAsia" w:eastAsiaTheme="minorEastAsia"/>
        </w:rPr>
        <w:t>EIRP and EIS. However the rest of conducted requirement might not reflect the overall radiated performance of the real operation of NR BS</w:t>
      </w:r>
      <w:r>
        <w:rPr>
          <w:rFonts w:hint="eastAsia" w:eastAsiaTheme="minorEastAsia"/>
          <w:lang w:val="en-US" w:eastAsia="zh-CN"/>
        </w:rPr>
        <w:t xml:space="preserve"> especially for EVM and ACLR requirements</w:t>
      </w:r>
      <w:r>
        <w:rPr>
          <w:rFonts w:hint="eastAsia" w:eastAsiaTheme="minorEastAsia"/>
        </w:rPr>
        <w:t>. In addition, for some bidding test of the operators, BS type 1-H also include some other radiated requirements e.g. EVM, ACLR, spurious emission, ACS, blocking.</w:t>
      </w:r>
      <w:r>
        <w:rPr>
          <w:rFonts w:hint="eastAsia" w:eastAsiaTheme="minorEastAsia"/>
          <w:lang w:val="en-US" w:eastAsia="zh-CN"/>
        </w:rPr>
        <w:t xml:space="preserve"> The details could be found in the following Table 2.3.9-1.</w:t>
      </w:r>
      <w:r>
        <w:rPr>
          <w:rFonts w:hint="eastAsia" w:eastAsiaTheme="minorEastAsia"/>
        </w:rPr>
        <w:t xml:space="preserve"> </w:t>
      </w:r>
    </w:p>
    <w:p w14:paraId="782C314D">
      <w:pPr>
        <w:jc w:val="center"/>
        <w:rPr>
          <w:rFonts w:hint="default" w:eastAsiaTheme="minorEastAsia"/>
          <w:lang w:val="en-US"/>
        </w:rPr>
      </w:pPr>
      <w:r>
        <w:rPr>
          <w:rFonts w:hint="eastAsia"/>
          <w:lang w:val="en-US" w:eastAsia="zh-CN"/>
        </w:rPr>
        <w:t>Table 2.3.9-1. the more inclusive radiated requirement on top of 5G NR BS type 1-H</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14:paraId="4C688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48F77909">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c>
          <w:tcPr>
            <w:tcW w:w="2490" w:type="dxa"/>
            <w:shd w:val="clear" w:color="auto" w:fill="BEBEBE" w:themeFill="background1" w:themeFillShade="BF"/>
            <w:vAlign w:val="top"/>
          </w:tcPr>
          <w:p w14:paraId="79501981">
            <w:pPr>
              <w:keepNext w:val="0"/>
              <w:keepLines w:val="0"/>
              <w:suppressLineNumbers w:val="0"/>
              <w:spacing w:before="0" w:beforeAutospacing="0" w:afterAutospacing="0"/>
              <w:ind w:left="0" w:leftChars="0" w:right="0" w:rightChars="0"/>
              <w:jc w:val="left"/>
              <w:rPr>
                <w:rFonts w:hint="default"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5G BS type 1-H</w:t>
            </w:r>
          </w:p>
        </w:tc>
        <w:tc>
          <w:tcPr>
            <w:tcW w:w="2490" w:type="dxa"/>
            <w:shd w:val="clear" w:color="auto" w:fill="BEBEBE" w:themeFill="background1" w:themeFillShade="BF"/>
          </w:tcPr>
          <w:p w14:paraId="1415F2C6">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ascii="Times New Roman" w:hAnsi="Times New Roman" w:eastAsia="宋体" w:cs="Times New Roman"/>
                <w:b/>
                <w:bCs/>
                <w:color w:val="auto"/>
                <w:sz w:val="20"/>
                <w:szCs w:val="20"/>
                <w:vertAlign w:val="baseline"/>
                <w:lang w:val="en-US" w:eastAsia="zh-CN"/>
              </w:rPr>
            </w:pPr>
            <w:r>
              <w:rPr>
                <w:rFonts w:hint="eastAsia" w:cs="Times New Roman"/>
                <w:b/>
                <w:bCs/>
                <w:color w:val="auto"/>
                <w:sz w:val="20"/>
                <w:szCs w:val="20"/>
                <w:vertAlign w:val="baseline"/>
                <w:lang w:val="en-US" w:eastAsia="zh-CN"/>
              </w:rPr>
              <w:t>6GR BS type 1-H</w:t>
            </w:r>
          </w:p>
        </w:tc>
      </w:tr>
      <w:tr w14:paraId="2481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68C5BCB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r>
              <w:rPr>
                <w:rFonts w:hint="eastAsia" w:cs="Times New Roman"/>
                <w:b/>
                <w:bCs/>
                <w:sz w:val="20"/>
                <w:szCs w:val="20"/>
                <w:vertAlign w:val="baseline"/>
                <w:lang w:val="en-US" w:eastAsia="zh-CN"/>
              </w:rPr>
              <w:t>T</w:t>
            </w:r>
            <w:r>
              <w:rPr>
                <w:rFonts w:hint="default" w:ascii="Times New Roman" w:hAnsi="Times New Roman" w:eastAsia="宋体" w:cs="Times New Roman"/>
                <w:b/>
                <w:bCs/>
                <w:sz w:val="20"/>
                <w:szCs w:val="20"/>
                <w:vertAlign w:val="baseline"/>
                <w:lang w:val="en-US" w:eastAsia="zh-CN"/>
              </w:rPr>
              <w:t>x part</w:t>
            </w:r>
          </w:p>
        </w:tc>
        <w:tc>
          <w:tcPr>
            <w:tcW w:w="2490" w:type="dxa"/>
            <w:shd w:val="clear" w:color="auto" w:fill="BEBEBE" w:themeFill="background1" w:themeFillShade="BF"/>
            <w:vAlign w:val="top"/>
          </w:tcPr>
          <w:p w14:paraId="4DEAB729">
            <w:pPr>
              <w:keepNext w:val="0"/>
              <w:keepLines w:val="0"/>
              <w:suppressLineNumbers w:val="0"/>
              <w:spacing w:before="0" w:beforeAutospacing="0" w:afterAutospacing="0"/>
              <w:ind w:left="0" w:leftChars="0" w:right="0" w:rightChars="0"/>
              <w:jc w:val="left"/>
              <w:rPr>
                <w:rFonts w:hint="eastAsia" w:cs="Times New Roman"/>
                <w:b/>
                <w:bCs/>
                <w:color w:val="auto"/>
                <w:kern w:val="2"/>
                <w:sz w:val="20"/>
                <w:szCs w:val="20"/>
                <w:vertAlign w:val="baseline"/>
                <w:lang w:val="en-US" w:eastAsia="zh-CN" w:bidi="ar-SA"/>
              </w:rPr>
            </w:pPr>
          </w:p>
        </w:tc>
        <w:tc>
          <w:tcPr>
            <w:tcW w:w="2490" w:type="dxa"/>
            <w:shd w:val="clear" w:color="auto" w:fill="BEBEBE" w:themeFill="background1" w:themeFillShade="BF"/>
          </w:tcPr>
          <w:p w14:paraId="57A5B9A6">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eastAsia" w:cs="Times New Roman"/>
                <w:b/>
                <w:bCs/>
                <w:color w:val="auto"/>
                <w:kern w:val="2"/>
                <w:sz w:val="20"/>
                <w:szCs w:val="20"/>
                <w:vertAlign w:val="baseline"/>
                <w:lang w:val="en-US" w:eastAsia="zh-CN" w:bidi="ar-SA"/>
              </w:rPr>
            </w:pPr>
          </w:p>
        </w:tc>
      </w:tr>
      <w:tr w14:paraId="4D13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BEDACA2">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2490" w:type="dxa"/>
            <w:shd w:val="clear" w:color="auto" w:fill="auto"/>
            <w:vAlign w:val="top"/>
          </w:tcPr>
          <w:p w14:paraId="0A6EF02D">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 OTA</w:t>
            </w:r>
          </w:p>
        </w:tc>
        <w:tc>
          <w:tcPr>
            <w:tcW w:w="2490" w:type="dxa"/>
          </w:tcPr>
          <w:p w14:paraId="48744D09">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right="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14:paraId="37D7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9E8509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2490" w:type="dxa"/>
            <w:shd w:val="clear" w:color="auto" w:fill="auto"/>
            <w:vAlign w:val="top"/>
          </w:tcPr>
          <w:p w14:paraId="7DD613CD">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5277CE4F">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r w14:paraId="4C36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0B85CC1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Transmit ON/OFF power</w:t>
            </w:r>
          </w:p>
        </w:tc>
        <w:tc>
          <w:tcPr>
            <w:tcW w:w="2490" w:type="dxa"/>
            <w:shd w:val="clear" w:color="auto" w:fill="auto"/>
            <w:vAlign w:val="top"/>
          </w:tcPr>
          <w:p w14:paraId="4237604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756912EF">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01997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E84D364">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Transmitted signal quality</w:t>
            </w:r>
          </w:p>
        </w:tc>
        <w:tc>
          <w:tcPr>
            <w:tcW w:w="2490" w:type="dxa"/>
            <w:shd w:val="clear" w:color="auto" w:fill="auto"/>
            <w:vAlign w:val="top"/>
          </w:tcPr>
          <w:p w14:paraId="53D0FB36">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Conducted</w:t>
            </w:r>
          </w:p>
        </w:tc>
        <w:tc>
          <w:tcPr>
            <w:tcW w:w="2490" w:type="dxa"/>
          </w:tcPr>
          <w:p w14:paraId="4B9B0E90">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OTA</w:t>
            </w:r>
          </w:p>
        </w:tc>
      </w:tr>
      <w:tr w14:paraId="4730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3179A63">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OBW</w:t>
            </w:r>
          </w:p>
        </w:tc>
        <w:tc>
          <w:tcPr>
            <w:tcW w:w="2490" w:type="dxa"/>
            <w:shd w:val="clear" w:color="auto" w:fill="auto"/>
            <w:vAlign w:val="top"/>
          </w:tcPr>
          <w:p w14:paraId="05F05A95">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37DB0B2C">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65AF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DEC605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2490" w:type="dxa"/>
            <w:shd w:val="clear" w:color="auto" w:fill="auto"/>
            <w:vAlign w:val="top"/>
          </w:tcPr>
          <w:p w14:paraId="75F4143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shd w:val="clear" w:color="auto" w:fill="auto"/>
            <w:vAlign w:val="top"/>
          </w:tcPr>
          <w:p w14:paraId="0D0161CF">
            <w:pPr>
              <w:keepNext w:val="0"/>
              <w:keepLines w:val="0"/>
              <w:suppressLineNumbers w:val="0"/>
              <w:spacing w:before="0" w:beforeAutospacing="0" w:afterAutospacing="0"/>
              <w:ind w:left="0" w:leftChars="0" w:right="0" w:rightChars="0"/>
              <w:jc w:val="left"/>
              <w:rPr>
                <w:rFonts w:hint="default" w:ascii="Arial" w:hAnsi="Arial" w:eastAsia="宋体" w:cs="Arial"/>
                <w:kern w:val="2"/>
                <w:sz w:val="21"/>
                <w:szCs w:val="22"/>
                <w:vertAlign w:val="baseline"/>
                <w:lang w:val="en-US" w:eastAsia="zh-CN" w:bidi="ar-SA"/>
              </w:rPr>
            </w:pPr>
            <w:r>
              <w:rPr>
                <w:rFonts w:hint="eastAsia" w:cs="Times New Roman"/>
                <w:color w:val="auto"/>
                <w:kern w:val="2"/>
                <w:sz w:val="20"/>
                <w:szCs w:val="20"/>
                <w:vertAlign w:val="baseline"/>
                <w:lang w:val="en-US" w:eastAsia="zh-CN" w:bidi="ar-SA"/>
              </w:rPr>
              <w:t>Conducted</w:t>
            </w:r>
          </w:p>
        </w:tc>
      </w:tr>
      <w:tr w14:paraId="623B1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14D23AE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2490" w:type="dxa"/>
            <w:shd w:val="clear" w:color="auto" w:fill="auto"/>
            <w:vAlign w:val="top"/>
          </w:tcPr>
          <w:p w14:paraId="5ACDFD2E">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0052D2AD">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 OTA</w:t>
            </w:r>
          </w:p>
        </w:tc>
      </w:tr>
      <w:tr w14:paraId="4DD6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2018F1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2490" w:type="dxa"/>
            <w:shd w:val="clear" w:color="auto" w:fill="auto"/>
            <w:vAlign w:val="top"/>
          </w:tcPr>
          <w:p w14:paraId="15A01F55">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7C2E3896">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69DD1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06E5554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2490" w:type="dxa"/>
            <w:shd w:val="clear" w:color="auto" w:fill="auto"/>
            <w:vAlign w:val="top"/>
          </w:tcPr>
          <w:p w14:paraId="50586AF1">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28E0AAD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13D7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shd w:val="clear" w:color="auto" w:fill="BEBEBE" w:themeFill="background1" w:themeFillShade="BF"/>
            <w:vAlign w:val="top"/>
          </w:tcPr>
          <w:p w14:paraId="5F3CBB53">
            <w:pPr>
              <w:keepNext w:val="0"/>
              <w:keepLines w:val="0"/>
              <w:suppressLineNumbers w:val="0"/>
              <w:spacing w:before="0" w:beforeAutospacing="0" w:afterAutospacing="0"/>
              <w:ind w:left="0" w:leftChars="0" w:right="0" w:rightChars="0"/>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c>
          <w:tcPr>
            <w:tcW w:w="2490" w:type="dxa"/>
            <w:shd w:val="clear" w:color="auto" w:fill="BEBEBE" w:themeFill="background1" w:themeFillShade="BF"/>
            <w:vAlign w:val="top"/>
          </w:tcPr>
          <w:p w14:paraId="1631F92E">
            <w:pPr>
              <w:keepNext w:val="0"/>
              <w:keepLines w:val="0"/>
              <w:pageBreakBefore w:val="0"/>
              <w:widowControl w:val="0"/>
              <w:numPr>
                <w:ilvl w:val="0"/>
                <w:numId w:val="0"/>
              </w:numPr>
              <w:suppressLineNumbers w:val="0"/>
              <w:tabs>
                <w:tab w:val="left" w:pos="2127"/>
              </w:tabs>
              <w:kinsoku/>
              <w:wordWrap/>
              <w:overflowPunct/>
              <w:topLinePunct w:val="0"/>
              <w:autoSpaceDE/>
              <w:autoSpaceDN/>
              <w:bidi w:val="0"/>
              <w:adjustRightInd/>
              <w:snapToGrid/>
              <w:spacing w:before="0" w:beforeAutospacing="0" w:after="0" w:afterAutospacing="0" w:line="260" w:lineRule="auto"/>
              <w:ind w:left="0" w:leftChars="0" w:right="0" w:rightChars="0" w:firstLine="0" w:firstLineChars="0"/>
              <w:jc w:val="both"/>
              <w:textAlignment w:val="auto"/>
              <w:outlineLvl w:val="1"/>
              <w:rPr>
                <w:rFonts w:hint="default" w:ascii="Times New Roman" w:hAnsi="Times New Roman" w:eastAsia="宋体" w:cs="Times New Roman"/>
                <w:b/>
                <w:bCs/>
                <w:color w:val="auto"/>
                <w:sz w:val="20"/>
                <w:szCs w:val="20"/>
                <w:lang w:val="en-US" w:eastAsia="zh-CN"/>
              </w:rPr>
            </w:pPr>
          </w:p>
        </w:tc>
        <w:tc>
          <w:tcPr>
            <w:tcW w:w="2490" w:type="dxa"/>
            <w:shd w:val="clear" w:color="auto" w:fill="BEBEBE" w:themeFill="background1" w:themeFillShade="BF"/>
          </w:tcPr>
          <w:p w14:paraId="56F8A86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b/>
                <w:bCs/>
                <w:color w:val="auto"/>
                <w:sz w:val="20"/>
                <w:szCs w:val="20"/>
                <w:vertAlign w:val="baseline"/>
                <w:lang w:val="en-US" w:eastAsia="zh-CN"/>
              </w:rPr>
            </w:pPr>
          </w:p>
        </w:tc>
      </w:tr>
      <w:tr w14:paraId="5E28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7B7D8917">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2490" w:type="dxa"/>
            <w:shd w:val="clear" w:color="auto" w:fill="auto"/>
            <w:vAlign w:val="top"/>
          </w:tcPr>
          <w:p w14:paraId="006A34D9">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Conducted,OTA</w:t>
            </w:r>
          </w:p>
        </w:tc>
        <w:tc>
          <w:tcPr>
            <w:tcW w:w="2490" w:type="dxa"/>
          </w:tcPr>
          <w:p w14:paraId="209FF81E">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67B90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2D8F95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dynamic range</w:t>
            </w:r>
          </w:p>
        </w:tc>
        <w:tc>
          <w:tcPr>
            <w:tcW w:w="2490" w:type="dxa"/>
            <w:shd w:val="clear" w:color="auto" w:fill="auto"/>
            <w:vAlign w:val="top"/>
          </w:tcPr>
          <w:p w14:paraId="1A8A7B54">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3EAD83E2">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6BA0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2ED188AA">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ACS</w:t>
            </w:r>
          </w:p>
        </w:tc>
        <w:tc>
          <w:tcPr>
            <w:tcW w:w="2490" w:type="dxa"/>
            <w:shd w:val="clear" w:color="auto" w:fill="auto"/>
            <w:vAlign w:val="top"/>
          </w:tcPr>
          <w:p w14:paraId="6B09CF4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tcPr>
          <w:p w14:paraId="22003B9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26F0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8085977">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blocking</w:t>
            </w:r>
          </w:p>
        </w:tc>
        <w:tc>
          <w:tcPr>
            <w:tcW w:w="2490" w:type="dxa"/>
            <w:shd w:val="clear" w:color="auto" w:fill="auto"/>
            <w:vAlign w:val="top"/>
          </w:tcPr>
          <w:p w14:paraId="48E9593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12A861EC">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 OTA</w:t>
            </w:r>
          </w:p>
        </w:tc>
      </w:tr>
      <w:tr w14:paraId="4CAC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82007D1">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NBB</w:t>
            </w:r>
          </w:p>
        </w:tc>
        <w:tc>
          <w:tcPr>
            <w:tcW w:w="2490" w:type="dxa"/>
            <w:shd w:val="clear" w:color="auto" w:fill="auto"/>
            <w:vAlign w:val="top"/>
          </w:tcPr>
          <w:p w14:paraId="2C3277D1">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6DAF7FE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0D1A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506B2D4E">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2490" w:type="dxa"/>
            <w:shd w:val="clear" w:color="auto" w:fill="auto"/>
            <w:vAlign w:val="top"/>
          </w:tcPr>
          <w:p w14:paraId="603CE2FC">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3E07E173">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3C255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097089C6">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NB IMD</w:t>
            </w:r>
          </w:p>
        </w:tc>
        <w:tc>
          <w:tcPr>
            <w:tcW w:w="2490" w:type="dxa"/>
            <w:shd w:val="clear" w:color="auto" w:fill="auto"/>
            <w:vAlign w:val="top"/>
          </w:tcPr>
          <w:p w14:paraId="4C73B475">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30CCD5DF">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23BD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4843180E">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spurious emission</w:t>
            </w:r>
          </w:p>
        </w:tc>
        <w:tc>
          <w:tcPr>
            <w:tcW w:w="2490" w:type="dxa"/>
            <w:shd w:val="clear" w:color="auto" w:fill="auto"/>
            <w:vAlign w:val="top"/>
          </w:tcPr>
          <w:p w14:paraId="0CFC8667">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2A58501B">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sz w:val="20"/>
                <w:szCs w:val="20"/>
                <w:vertAlign w:val="baseline"/>
                <w:lang w:val="en-US" w:eastAsia="zh-CN"/>
              </w:rPr>
            </w:pPr>
            <w:r>
              <w:rPr>
                <w:rFonts w:hint="eastAsia" w:cs="Times New Roman"/>
                <w:color w:val="auto"/>
                <w:kern w:val="2"/>
                <w:sz w:val="20"/>
                <w:szCs w:val="20"/>
                <w:vertAlign w:val="baseline"/>
                <w:lang w:val="en-US" w:eastAsia="zh-CN" w:bidi="ar-SA"/>
              </w:rPr>
              <w:t>Conducted</w:t>
            </w:r>
          </w:p>
        </w:tc>
      </w:tr>
      <w:tr w14:paraId="6B8B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top"/>
          </w:tcPr>
          <w:p w14:paraId="6F6633E0">
            <w:pPr>
              <w:keepNext w:val="0"/>
              <w:keepLines w:val="0"/>
              <w:suppressLineNumbers w:val="0"/>
              <w:spacing w:before="0" w:beforeAutospacing="0" w:afterAutospacing="0"/>
              <w:ind w:left="0" w:leftChars="0" w:right="0" w:right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w:t>
            </w:r>
            <w:r>
              <w:rPr>
                <w:rFonts w:hint="eastAsia" w:cs="Times New Roman"/>
                <w:color w:val="auto"/>
                <w:sz w:val="20"/>
                <w:szCs w:val="20"/>
                <w:lang w:val="en-US" w:eastAsia="zh-CN"/>
              </w:rPr>
              <w:t>ICS</w:t>
            </w:r>
          </w:p>
        </w:tc>
        <w:tc>
          <w:tcPr>
            <w:tcW w:w="2490" w:type="dxa"/>
            <w:shd w:val="clear" w:color="auto" w:fill="auto"/>
            <w:vAlign w:val="top"/>
          </w:tcPr>
          <w:p w14:paraId="67EBC2FA">
            <w:pPr>
              <w:keepNext w:val="0"/>
              <w:keepLines w:val="0"/>
              <w:suppressLineNumbers w:val="0"/>
              <w:spacing w:before="0" w:beforeAutospacing="0" w:afterAutospacing="0"/>
              <w:ind w:left="0" w:leftChars="0" w:right="0" w:rightChars="0"/>
              <w:jc w:val="left"/>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Conducted</w:t>
            </w:r>
          </w:p>
        </w:tc>
        <w:tc>
          <w:tcPr>
            <w:tcW w:w="2490" w:type="dxa"/>
            <w:vAlign w:val="top"/>
          </w:tcPr>
          <w:p w14:paraId="25DAF69D">
            <w:pPr>
              <w:keepNext w:val="0"/>
              <w:keepLines w:val="0"/>
              <w:suppressLineNumbers w:val="0"/>
              <w:spacing w:before="0" w:beforeAutospacing="0" w:afterAutospacing="0"/>
              <w:ind w:left="0" w:leftChars="0" w:right="0" w:rightChars="0"/>
              <w:jc w:val="left"/>
              <w:rPr>
                <w:rFonts w:hint="default" w:ascii="Arial" w:hAnsi="Arial" w:cs="Arial"/>
                <w:vertAlign w:val="baseline"/>
                <w:lang w:val="en-US" w:eastAsia="zh-CN"/>
              </w:rPr>
            </w:pPr>
            <w:r>
              <w:rPr>
                <w:rFonts w:hint="eastAsia" w:cs="Times New Roman"/>
                <w:color w:val="auto"/>
                <w:kern w:val="2"/>
                <w:sz w:val="20"/>
                <w:szCs w:val="20"/>
                <w:vertAlign w:val="baseline"/>
                <w:lang w:val="en-US" w:eastAsia="zh-CN" w:bidi="ar-SA"/>
              </w:rPr>
              <w:t>Conducted</w:t>
            </w:r>
          </w:p>
        </w:tc>
      </w:tr>
    </w:tbl>
    <w:p w14:paraId="4C6B850E">
      <w:pPr>
        <w:spacing w:after="0"/>
        <w:jc w:val="left"/>
        <w:rPr>
          <w:rFonts w:hint="default" w:eastAsiaTheme="minorEastAsia"/>
          <w:lang w:val="en-US" w:eastAsia="zh-CN"/>
        </w:rPr>
      </w:pPr>
    </w:p>
    <w:p w14:paraId="7E279A80">
      <w:pPr>
        <w:tabs>
          <w:tab w:val="left" w:pos="2127"/>
        </w:tabs>
        <w:spacing w:after="0"/>
        <w:jc w:val="left"/>
        <w:rPr>
          <w:rFonts w:hint="eastAsia"/>
          <w:lang w:val="en-US" w:eastAsia="zh-CN"/>
        </w:rPr>
      </w:pPr>
      <w:r>
        <w:rPr>
          <w:rFonts w:hint="eastAsia"/>
          <w:b/>
          <w:bCs/>
          <w:lang w:val="en-US" w:eastAsia="zh-CN"/>
        </w:rPr>
        <w:t>Proposal 28</w:t>
      </w:r>
      <w:r>
        <w:rPr>
          <w:rFonts w:hint="eastAsia"/>
          <w:lang w:val="en-US" w:eastAsia="zh-CN"/>
        </w:rPr>
        <w:t xml:space="preserve">: for the enhanced 6GR BS type 1-H, propose to discuss the additional OTA requirement in addition to EIRP and EIS requirement for BS type 1-H to reflect the radiated performance more precisely. </w:t>
      </w:r>
    </w:p>
    <w:p w14:paraId="20BF36A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4. Coexistence study for 6GR study</w:t>
      </w:r>
    </w:p>
    <w:p w14:paraId="16073EB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2.4.1. Coexistence cases for 6GR study</w:t>
      </w:r>
    </w:p>
    <w:p w14:paraId="5AEE35EA">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Similar as the introduction of 5G NR, RAN4 also need to conduct the relevant coexistence studies to identify the appropriate ACLR/ACS requirements. In the following Table 2.4.1-1, according to the confirmed IMT spectrum by ITU-R Radio regulation, we provide some initial understandings on the coexistence cases in 6GR study phase.</w:t>
      </w:r>
    </w:p>
    <w:p w14:paraId="7729762D">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b w:val="0"/>
          <w:bCs w:val="0"/>
          <w:lang w:val="en-US" w:eastAsia="zh-CN"/>
        </w:rPr>
      </w:pPr>
      <w:r>
        <w:rPr>
          <w:rFonts w:hint="eastAsia"/>
          <w:lang w:val="en-US" w:eastAsia="zh-CN"/>
        </w:rPr>
        <w:t>Table 2.4.1-1. coexistence case for 6GR study</w:t>
      </w:r>
    </w:p>
    <w:tbl>
      <w:tblPr>
        <w:tblStyle w:val="26"/>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55"/>
        <w:gridCol w:w="1910"/>
        <w:gridCol w:w="3762"/>
        <w:gridCol w:w="2837"/>
      </w:tblGrid>
      <w:tr w14:paraId="0B9E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87" w:type="pct"/>
            <w:shd w:val="clear" w:color="auto" w:fill="BEBEBE" w:themeFill="background1" w:themeFillShade="BF"/>
          </w:tcPr>
          <w:p w14:paraId="7CC4C8C4">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Scenario</w:t>
            </w:r>
          </w:p>
        </w:tc>
        <w:tc>
          <w:tcPr>
            <w:tcW w:w="968" w:type="pct"/>
            <w:shd w:val="clear" w:color="auto" w:fill="BEBEBE" w:themeFill="background1" w:themeFillShade="BF"/>
          </w:tcPr>
          <w:p w14:paraId="245710B3">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FR</w:t>
            </w:r>
          </w:p>
        </w:tc>
        <w:tc>
          <w:tcPr>
            <w:tcW w:w="1907" w:type="pct"/>
            <w:shd w:val="clear" w:color="auto" w:fill="BEBEBE" w:themeFill="background1" w:themeFillShade="BF"/>
          </w:tcPr>
          <w:p w14:paraId="3B28627E">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Aggressor</w:t>
            </w:r>
          </w:p>
        </w:tc>
        <w:tc>
          <w:tcPr>
            <w:tcW w:w="1436" w:type="pct"/>
            <w:shd w:val="clear" w:color="auto" w:fill="BEBEBE" w:themeFill="background1" w:themeFillShade="BF"/>
          </w:tcPr>
          <w:p w14:paraId="17574FD9">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Victim</w:t>
            </w:r>
          </w:p>
        </w:tc>
      </w:tr>
      <w:tr w14:paraId="7A42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6990D48F">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default" w:ascii="Arial" w:hAnsi="Arial" w:eastAsia="等线"/>
                <w:sz w:val="18"/>
                <w:lang w:eastAsia="zh-CN"/>
              </w:rPr>
              <w:t>1</w:t>
            </w:r>
          </w:p>
        </w:tc>
        <w:tc>
          <w:tcPr>
            <w:tcW w:w="968" w:type="pct"/>
          </w:tcPr>
          <w:p w14:paraId="7437700D">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45874889">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7" w:type="pct"/>
          </w:tcPr>
          <w:p w14:paraId="0DD29777">
            <w:pPr>
              <w:keepNext/>
              <w:keepLines/>
              <w:suppressLineNumbers w:val="0"/>
              <w:spacing w:before="0" w:beforeAutospacing="0" w:after="0" w:afterAutospacing="0"/>
              <w:ind w:left="0" w:right="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200977F6">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64 antenna elements)</w:t>
            </w:r>
          </w:p>
        </w:tc>
        <w:tc>
          <w:tcPr>
            <w:tcW w:w="1436" w:type="pct"/>
            <w:shd w:val="clear" w:color="auto" w:fill="auto"/>
          </w:tcPr>
          <w:p w14:paraId="630963B4">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6GR with AAS</w:t>
            </w:r>
          </w:p>
          <w:p w14:paraId="2AAF9F74">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64 antenna elements)</w:t>
            </w:r>
          </w:p>
        </w:tc>
      </w:tr>
      <w:tr w14:paraId="47E0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40E75DD3">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2</w:t>
            </w:r>
          </w:p>
        </w:tc>
        <w:tc>
          <w:tcPr>
            <w:tcW w:w="968" w:type="pct"/>
          </w:tcPr>
          <w:p w14:paraId="07074BAF">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66EF5458">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7" w:type="pct"/>
          </w:tcPr>
          <w:p w14:paraId="3DEF3EDB">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33A36F3F">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64 antenna elements)</w:t>
            </w:r>
          </w:p>
        </w:tc>
        <w:tc>
          <w:tcPr>
            <w:tcW w:w="1436" w:type="pct"/>
            <w:shd w:val="clear" w:color="auto" w:fill="auto"/>
          </w:tcPr>
          <w:p w14:paraId="1E4B3FF0">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5G with passive antenna</w:t>
            </w:r>
          </w:p>
        </w:tc>
      </w:tr>
      <w:tr w14:paraId="769E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4A601686">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3</w:t>
            </w:r>
          </w:p>
        </w:tc>
        <w:tc>
          <w:tcPr>
            <w:tcW w:w="968" w:type="pct"/>
            <w:vAlign w:val="top"/>
          </w:tcPr>
          <w:p w14:paraId="634CEEE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1DF1E994">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7" w:type="pct"/>
            <w:vAlign w:val="top"/>
          </w:tcPr>
          <w:p w14:paraId="197677DA">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   6GR with larger antenna array</w:t>
            </w:r>
          </w:p>
        </w:tc>
        <w:tc>
          <w:tcPr>
            <w:tcW w:w="1436" w:type="pct"/>
            <w:shd w:val="clear" w:color="auto" w:fill="auto"/>
            <w:vAlign w:val="top"/>
          </w:tcPr>
          <w:p w14:paraId="70E0AECC">
            <w:pPr>
              <w:keepNext/>
              <w:keepLines/>
              <w:suppressLineNumbers w:val="0"/>
              <w:spacing w:before="0" w:beforeAutospacing="0" w:after="0" w:afterAutospacing="0"/>
              <w:ind w:left="0" w:leftChars="0" w:right="0" w:rightChars="0"/>
              <w:jc w:val="center"/>
              <w:rPr>
                <w:rFonts w:hint="default" w:ascii="Arial" w:hAnsi="Arial" w:eastAsia="等线"/>
                <w:sz w:val="18"/>
                <w:lang w:eastAsia="zh-CN"/>
              </w:rPr>
            </w:pPr>
            <w:r>
              <w:rPr>
                <w:rFonts w:hint="eastAsia" w:ascii="Arial" w:hAnsi="Arial" w:eastAsia="等线"/>
                <w:sz w:val="18"/>
                <w:lang w:val="en-US" w:eastAsia="zh-CN"/>
              </w:rPr>
              <w:t xml:space="preserve"> 6GR with larger antenna array</w:t>
            </w:r>
          </w:p>
        </w:tc>
      </w:tr>
      <w:tr w14:paraId="473A7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1C9659FA">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4</w:t>
            </w:r>
          </w:p>
        </w:tc>
        <w:tc>
          <w:tcPr>
            <w:tcW w:w="968" w:type="pct"/>
            <w:vAlign w:val="top"/>
          </w:tcPr>
          <w:p w14:paraId="4F0695A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397E8EDF">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7" w:type="pct"/>
            <w:vAlign w:val="top"/>
          </w:tcPr>
          <w:p w14:paraId="4AA6F1BE">
            <w:pPr>
              <w:keepNext/>
              <w:keepLines/>
              <w:suppressLineNumbers w:val="0"/>
              <w:spacing w:before="0" w:beforeAutospacing="0" w:after="0" w:afterAutospacing="0"/>
              <w:ind w:left="0" w:leftChars="0" w:right="0" w:rightChars="0"/>
              <w:jc w:val="center"/>
              <w:rPr>
                <w:rFonts w:hint="default" w:ascii="Arial" w:hAnsi="Arial" w:eastAsia="等线"/>
                <w:sz w:val="18"/>
                <w:lang w:eastAsia="zh-CN"/>
              </w:rPr>
            </w:pPr>
            <w:r>
              <w:rPr>
                <w:rFonts w:hint="eastAsia" w:ascii="Arial" w:hAnsi="Arial" w:eastAsia="等线"/>
                <w:sz w:val="18"/>
                <w:lang w:val="en-US" w:eastAsia="zh-CN"/>
              </w:rPr>
              <w:t xml:space="preserve">   6GR with larger antenna array</w:t>
            </w:r>
          </w:p>
        </w:tc>
        <w:tc>
          <w:tcPr>
            <w:tcW w:w="1436" w:type="pct"/>
            <w:shd w:val="clear" w:color="auto" w:fill="auto"/>
            <w:vAlign w:val="top"/>
          </w:tcPr>
          <w:p w14:paraId="0194DEF8">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 5G with legacy antenna array [192 antenna elements]</w:t>
            </w:r>
          </w:p>
        </w:tc>
      </w:tr>
      <w:tr w14:paraId="1996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6FA1D827">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5</w:t>
            </w:r>
          </w:p>
        </w:tc>
        <w:tc>
          <w:tcPr>
            <w:tcW w:w="968" w:type="pct"/>
            <w:vAlign w:val="top"/>
          </w:tcPr>
          <w:p w14:paraId="358ADAA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12A83F5E">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7" w:type="pct"/>
            <w:vAlign w:val="top"/>
          </w:tcPr>
          <w:p w14:paraId="70963D4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31E046AB">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1k, 1.5k, 2k]</w:t>
            </w:r>
          </w:p>
        </w:tc>
        <w:tc>
          <w:tcPr>
            <w:tcW w:w="1436" w:type="pct"/>
            <w:shd w:val="clear" w:color="auto" w:fill="auto"/>
            <w:vAlign w:val="top"/>
          </w:tcPr>
          <w:p w14:paraId="2BE9736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1D3A24EB">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1k, 1.5k, 2k]</w:t>
            </w:r>
          </w:p>
        </w:tc>
      </w:tr>
      <w:tr w14:paraId="18CD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08DA8983">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6</w:t>
            </w:r>
          </w:p>
        </w:tc>
        <w:tc>
          <w:tcPr>
            <w:tcW w:w="968" w:type="pct"/>
            <w:vAlign w:val="top"/>
          </w:tcPr>
          <w:p w14:paraId="3F2D547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620CC8F6">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7" w:type="pct"/>
            <w:vAlign w:val="top"/>
          </w:tcPr>
          <w:p w14:paraId="0ACD4BB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35218E5B">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1k, 1.5k, 2k]</w:t>
            </w:r>
          </w:p>
        </w:tc>
        <w:tc>
          <w:tcPr>
            <w:tcW w:w="1436" w:type="pct"/>
            <w:shd w:val="clear" w:color="auto" w:fill="auto"/>
            <w:vAlign w:val="top"/>
          </w:tcPr>
          <w:p w14:paraId="3EC53E54">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5G with legacy antenna array </w:t>
            </w:r>
          </w:p>
          <w:p w14:paraId="78E316B5">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[192 antenna elements]</w:t>
            </w:r>
          </w:p>
        </w:tc>
      </w:tr>
      <w:tr w14:paraId="57FE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7528D1A0">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7</w:t>
            </w:r>
          </w:p>
        </w:tc>
        <w:tc>
          <w:tcPr>
            <w:tcW w:w="968" w:type="pct"/>
            <w:vAlign w:val="top"/>
          </w:tcPr>
          <w:p w14:paraId="10877061">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28GHz</w:t>
            </w:r>
          </w:p>
          <w:p w14:paraId="31283949">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 3)</w:t>
            </w:r>
          </w:p>
        </w:tc>
        <w:tc>
          <w:tcPr>
            <w:tcW w:w="1907" w:type="pct"/>
            <w:vAlign w:val="top"/>
          </w:tcPr>
          <w:p w14:paraId="5DA63B0C">
            <w:pPr>
              <w:keepNext/>
              <w:keepLines/>
              <w:suppressLineNumbers w:val="0"/>
              <w:spacing w:before="0" w:beforeAutospacing="0" w:after="0" w:afterAutospacing="0"/>
              <w:ind w:left="0" w:leftChars="0" w:right="0" w:rightChars="0"/>
              <w:jc w:val="both"/>
              <w:rPr>
                <w:rFonts w:hint="default" w:ascii="Arial" w:hAnsi="Arial" w:eastAsia="等线"/>
                <w:sz w:val="18"/>
                <w:lang w:val="en-US" w:eastAsia="zh-CN"/>
              </w:rPr>
            </w:pPr>
            <w:r>
              <w:rPr>
                <w:rFonts w:hint="eastAsia" w:ascii="Arial" w:hAnsi="Arial" w:eastAsia="等线"/>
                <w:sz w:val="18"/>
                <w:lang w:val="en-US" w:eastAsia="zh-CN"/>
              </w:rPr>
              <w:t xml:space="preserve">                 6GR with AAS</w:t>
            </w:r>
          </w:p>
        </w:tc>
        <w:tc>
          <w:tcPr>
            <w:tcW w:w="1436" w:type="pct"/>
            <w:shd w:val="clear" w:color="auto" w:fill="auto"/>
            <w:vAlign w:val="top"/>
          </w:tcPr>
          <w:p w14:paraId="734E0AC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6GR with AAS</w:t>
            </w:r>
          </w:p>
        </w:tc>
      </w:tr>
      <w:tr w14:paraId="250CF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128DBA6F">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8</w:t>
            </w:r>
          </w:p>
        </w:tc>
        <w:tc>
          <w:tcPr>
            <w:tcW w:w="968" w:type="pct"/>
            <w:vAlign w:val="top"/>
          </w:tcPr>
          <w:p w14:paraId="6E43F64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28GHz</w:t>
            </w:r>
          </w:p>
          <w:p w14:paraId="11B84E04">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(NOTE 3)</w:t>
            </w:r>
          </w:p>
        </w:tc>
        <w:tc>
          <w:tcPr>
            <w:tcW w:w="1907" w:type="pct"/>
            <w:vAlign w:val="top"/>
          </w:tcPr>
          <w:p w14:paraId="4E6DE065">
            <w:pPr>
              <w:keepNext/>
              <w:keepLines/>
              <w:suppressLineNumbers w:val="0"/>
              <w:spacing w:before="0" w:beforeAutospacing="0" w:after="0" w:afterAutospacing="0"/>
              <w:ind w:left="0" w:leftChars="0" w:right="0" w:rightChars="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tc>
        <w:tc>
          <w:tcPr>
            <w:tcW w:w="1436" w:type="pct"/>
            <w:shd w:val="clear" w:color="auto" w:fill="auto"/>
            <w:vAlign w:val="top"/>
          </w:tcPr>
          <w:p w14:paraId="4F0ED287">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AAS</w:t>
            </w:r>
          </w:p>
        </w:tc>
      </w:tr>
      <w:tr w14:paraId="2115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6C7081EE">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9</w:t>
            </w:r>
          </w:p>
        </w:tc>
        <w:tc>
          <w:tcPr>
            <w:tcW w:w="968" w:type="pct"/>
            <w:vAlign w:val="top"/>
          </w:tcPr>
          <w:p w14:paraId="4C251734">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40GHz</w:t>
            </w:r>
          </w:p>
          <w:p w14:paraId="4FF9FACB">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(NOTE 3)</w:t>
            </w:r>
          </w:p>
        </w:tc>
        <w:tc>
          <w:tcPr>
            <w:tcW w:w="1907" w:type="pct"/>
            <w:vAlign w:val="top"/>
          </w:tcPr>
          <w:p w14:paraId="436F42C9">
            <w:pPr>
              <w:keepNext/>
              <w:keepLines/>
              <w:suppressLineNumbers w:val="0"/>
              <w:spacing w:before="0" w:beforeAutospacing="0" w:after="0" w:afterAutospacing="0"/>
              <w:ind w:left="0" w:leftChars="0" w:right="0" w:rightChars="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tc>
        <w:tc>
          <w:tcPr>
            <w:tcW w:w="1436" w:type="pct"/>
            <w:shd w:val="clear" w:color="auto" w:fill="auto"/>
            <w:vAlign w:val="top"/>
          </w:tcPr>
          <w:p w14:paraId="08DC481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6GR with AAS</w:t>
            </w:r>
          </w:p>
        </w:tc>
      </w:tr>
      <w:tr w14:paraId="19CF7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4B6F51E5">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10</w:t>
            </w:r>
          </w:p>
        </w:tc>
        <w:tc>
          <w:tcPr>
            <w:tcW w:w="968" w:type="pct"/>
            <w:vAlign w:val="top"/>
          </w:tcPr>
          <w:p w14:paraId="2DA41FA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40GHz</w:t>
            </w:r>
          </w:p>
          <w:p w14:paraId="73085C2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(NOTE 3)</w:t>
            </w:r>
          </w:p>
        </w:tc>
        <w:tc>
          <w:tcPr>
            <w:tcW w:w="1907" w:type="pct"/>
            <w:vAlign w:val="top"/>
          </w:tcPr>
          <w:p w14:paraId="0919F24C">
            <w:pPr>
              <w:keepNext/>
              <w:keepLines/>
              <w:suppressLineNumbers w:val="0"/>
              <w:spacing w:before="0" w:beforeAutospacing="0" w:after="0" w:afterAutospacing="0"/>
              <w:ind w:left="0" w:leftChars="0" w:right="0" w:rightChars="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tc>
        <w:tc>
          <w:tcPr>
            <w:tcW w:w="1436" w:type="pct"/>
            <w:shd w:val="clear" w:color="auto" w:fill="auto"/>
            <w:vAlign w:val="top"/>
          </w:tcPr>
          <w:p w14:paraId="4568BFC5">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AAS</w:t>
            </w:r>
          </w:p>
        </w:tc>
      </w:tr>
      <w:tr w14:paraId="71BA1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1DF06BC9">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1: 6GR non-SBFD BS coexists with 6GR non-SBFD BS BS with larger antenna array than assumption in TR 38.921.</w:t>
            </w:r>
          </w:p>
          <w:p w14:paraId="5453B5B2">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2: 6GR SBFD BS coexists with 6GR SBFD BS;</w:t>
            </w:r>
          </w:p>
          <w:p w14:paraId="3E95288C">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3: The simulation assumption captured in TR38.803 is too aggressive with BS maximum output power up to 43dBm.</w:t>
            </w:r>
          </w:p>
        </w:tc>
      </w:tr>
    </w:tbl>
    <w:p w14:paraId="4AE82D25">
      <w:pPr>
        <w:tabs>
          <w:tab w:val="left" w:pos="2127"/>
        </w:tabs>
        <w:spacing w:after="0"/>
        <w:jc w:val="left"/>
        <w:rPr>
          <w:rFonts w:hint="default"/>
          <w:lang w:val="en-US" w:eastAsia="zh-CN"/>
        </w:rPr>
      </w:pPr>
      <w:r>
        <w:rPr>
          <w:rFonts w:hint="eastAsia"/>
          <w:b/>
          <w:bCs/>
          <w:lang w:val="en-US" w:eastAsia="zh-CN"/>
        </w:rPr>
        <w:t>Proposal 29</w:t>
      </w:r>
      <w:r>
        <w:rPr>
          <w:rFonts w:hint="eastAsia"/>
          <w:lang w:val="en-US" w:eastAsia="zh-CN"/>
        </w:rPr>
        <w:t>: for the 6GR coexistence study, propose to consider the coexistence cases as listed in Table 2.4.1-1.</w:t>
      </w:r>
    </w:p>
    <w:p w14:paraId="3515A38B">
      <w:pPr>
        <w:numPr>
          <w:ilvl w:val="0"/>
          <w:numId w:val="0"/>
        </w:numPr>
        <w:tabs>
          <w:tab w:val="left" w:pos="2127"/>
        </w:tabs>
        <w:spacing w:after="0"/>
        <w:jc w:val="both"/>
        <w:rPr>
          <w:rFonts w:hint="default"/>
          <w:b w:val="0"/>
          <w:bCs w:val="0"/>
          <w:lang w:val="en-US" w:eastAsia="zh-CN"/>
        </w:rPr>
      </w:pPr>
    </w:p>
    <w:p w14:paraId="5814FBC9">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2.4.2. Simulation assumption for 6GR study</w:t>
      </w:r>
    </w:p>
    <w:p w14:paraId="3DA268F1">
      <w:pPr>
        <w:numPr>
          <w:ilvl w:val="0"/>
          <w:numId w:val="0"/>
        </w:numPr>
        <w:tabs>
          <w:tab w:val="left" w:pos="2127"/>
        </w:tabs>
        <w:spacing w:after="0"/>
        <w:jc w:val="both"/>
        <w:rPr>
          <w:rFonts w:hint="eastAsia"/>
          <w:b w:val="0"/>
          <w:bCs w:val="0"/>
          <w:highlight w:val="none"/>
          <w:lang w:val="en-US" w:eastAsia="zh-CN"/>
        </w:rPr>
      </w:pPr>
      <w:r>
        <w:rPr>
          <w:rFonts w:hint="eastAsia"/>
          <w:b w:val="0"/>
          <w:bCs w:val="0"/>
          <w:highlight w:val="none"/>
          <w:lang w:val="en-US" w:eastAsia="zh-CN"/>
        </w:rPr>
        <w:t>For the simulation assumption for 6GR study, we want to provide the following simulation assumptions as captured in Table 2.4.2-1 and Table 2.4.2-2 for the 6GR coexistence study.</w:t>
      </w:r>
    </w:p>
    <w:p w14:paraId="1B36512F">
      <w:pPr>
        <w:numPr>
          <w:ilvl w:val="0"/>
          <w:numId w:val="0"/>
        </w:num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2.4.2-1. general parameters for up to 7GHz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26904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0492499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tcPr>
          <w:p w14:paraId="761C057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700MHz</w:t>
            </w:r>
          </w:p>
        </w:tc>
        <w:tc>
          <w:tcPr>
            <w:tcW w:w="2491" w:type="dxa"/>
            <w:shd w:val="clear" w:color="auto" w:fill="BEBEBE" w:themeFill="background1" w:themeFillShade="BF"/>
          </w:tcPr>
          <w:p w14:paraId="4CAFC9C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4GHz</w:t>
            </w:r>
          </w:p>
        </w:tc>
        <w:tc>
          <w:tcPr>
            <w:tcW w:w="2491" w:type="dxa"/>
            <w:shd w:val="clear" w:color="auto" w:fill="BEBEBE" w:themeFill="background1" w:themeFillShade="BF"/>
          </w:tcPr>
          <w:p w14:paraId="6C97F31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Around 7GHz</w:t>
            </w:r>
          </w:p>
        </w:tc>
      </w:tr>
      <w:tr w14:paraId="681C7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78B4B0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tcPr>
          <w:p w14:paraId="0308349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3639CE0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30DF8EA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7593B30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4024308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2F2810E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736DE4C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60A86AF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7D9B7A4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r>
      <w:tr w14:paraId="6D49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BE0B0E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tcPr>
          <w:p w14:paraId="4D324F7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6203D31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7FB1D18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r>
      <w:tr w14:paraId="79E1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7E0641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BS Antenna configuration</w:t>
            </w:r>
          </w:p>
        </w:tc>
        <w:tc>
          <w:tcPr>
            <w:tcW w:w="2490" w:type="dxa"/>
          </w:tcPr>
          <w:p w14:paraId="7E13CF4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r>
              <w:rPr>
                <w:rFonts w:hint="default"/>
                <w:b w:val="0"/>
                <w:bCs w:val="0"/>
                <w:highlight w:val="none"/>
                <w:lang w:val="en-US" w:eastAsia="zh-CN"/>
              </w:rPr>
              <w:t>Around 700 MHz: Up to 64 Tx and Rx antenna elements</w:t>
            </w:r>
          </w:p>
        </w:tc>
        <w:tc>
          <w:tcPr>
            <w:tcW w:w="2491" w:type="dxa"/>
          </w:tcPr>
          <w:p w14:paraId="5FA7637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4 GHz: Up to 576 Tx and Rx antenna elements</w:t>
            </w:r>
          </w:p>
          <w:p w14:paraId="31B9AC9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c>
          <w:tcPr>
            <w:tcW w:w="2491" w:type="dxa"/>
          </w:tcPr>
          <w:p w14:paraId="06E2E30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7 GHz: Up to 2304 Tx and Rx antenna elements</w:t>
            </w:r>
          </w:p>
          <w:p w14:paraId="0021E5E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r>
      <w:tr w14:paraId="6A92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auto"/>
            <w:vAlign w:val="top"/>
          </w:tcPr>
          <w:p w14:paraId="4823057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UE Antenna configuration</w:t>
            </w:r>
          </w:p>
        </w:tc>
        <w:tc>
          <w:tcPr>
            <w:tcW w:w="2490" w:type="dxa"/>
          </w:tcPr>
          <w:p w14:paraId="3AD2C77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Omini antenna</w:t>
            </w:r>
          </w:p>
        </w:tc>
        <w:tc>
          <w:tcPr>
            <w:tcW w:w="2491" w:type="dxa"/>
          </w:tcPr>
          <w:p w14:paraId="6662A4A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Omini antenna</w:t>
            </w:r>
          </w:p>
        </w:tc>
        <w:tc>
          <w:tcPr>
            <w:tcW w:w="2491" w:type="dxa"/>
          </w:tcPr>
          <w:p w14:paraId="0A57305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Omini antenna</w:t>
            </w:r>
          </w:p>
        </w:tc>
      </w:tr>
      <w:tr w14:paraId="031D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9B8534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tcPr>
          <w:p w14:paraId="4E58138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5698AD7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6B807FB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r>
      <w:tr w14:paraId="0FE7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015158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tcPr>
          <w:p w14:paraId="60D9797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Depends ACLR modelling</w:t>
            </w:r>
          </w:p>
        </w:tc>
        <w:tc>
          <w:tcPr>
            <w:tcW w:w="2491" w:type="dxa"/>
            <w:shd w:val="clear" w:color="auto" w:fill="auto"/>
            <w:vAlign w:val="top"/>
          </w:tcPr>
          <w:p w14:paraId="1F0DBCEF">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43EA6A94">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r>
      <w:tr w14:paraId="7D616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388C8D1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tcPr>
          <w:p w14:paraId="709F23D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5AA306F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1C71057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r>
      <w:tr w14:paraId="64DD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7FF1A5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tcPr>
          <w:p w14:paraId="3399E91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4A8C9EA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0D7858A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r>
    </w:tbl>
    <w:p w14:paraId="6A3CEF8D">
      <w:pPr>
        <w:numPr>
          <w:ilvl w:val="0"/>
          <w:numId w:val="0"/>
        </w:numPr>
        <w:tabs>
          <w:tab w:val="left" w:pos="2127"/>
        </w:tabs>
        <w:spacing w:after="0"/>
        <w:jc w:val="both"/>
        <w:rPr>
          <w:rFonts w:hint="default"/>
          <w:b w:val="0"/>
          <w:bCs w:val="0"/>
          <w:lang w:val="en-US" w:eastAsia="zh-CN"/>
        </w:rPr>
      </w:pPr>
    </w:p>
    <w:p w14:paraId="2558C229">
      <w:pPr>
        <w:numPr>
          <w:ilvl w:val="0"/>
          <w:numId w:val="0"/>
        </w:num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2.4.2-2. general parameters for 30GHz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417B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0D4DD3B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tcPr>
          <w:p w14:paraId="5046E5C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30GHz</w:t>
            </w:r>
          </w:p>
        </w:tc>
        <w:tc>
          <w:tcPr>
            <w:tcW w:w="2491" w:type="dxa"/>
            <w:shd w:val="clear" w:color="auto" w:fill="BEBEBE" w:themeFill="background1" w:themeFillShade="BF"/>
          </w:tcPr>
          <w:p w14:paraId="1D165E6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40GHz</w:t>
            </w:r>
          </w:p>
        </w:tc>
        <w:tc>
          <w:tcPr>
            <w:tcW w:w="2491" w:type="dxa"/>
            <w:shd w:val="clear" w:color="auto" w:fill="BEBEBE" w:themeFill="background1" w:themeFillShade="BF"/>
          </w:tcPr>
          <w:p w14:paraId="0959C71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Remarks</w:t>
            </w:r>
          </w:p>
        </w:tc>
      </w:tr>
      <w:tr w14:paraId="162C9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11642A7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vAlign w:val="top"/>
          </w:tcPr>
          <w:p w14:paraId="6113BA2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0117529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5581540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vAlign w:val="top"/>
          </w:tcPr>
          <w:p w14:paraId="3C70239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29A05EB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00C1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399B3B6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vAlign w:val="top"/>
          </w:tcPr>
          <w:p w14:paraId="6CC7ED63">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vAlign w:val="top"/>
          </w:tcPr>
          <w:p w14:paraId="330F0875">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140A1C6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7BD87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9E4AA0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Antenna configuration</w:t>
            </w:r>
          </w:p>
        </w:tc>
        <w:tc>
          <w:tcPr>
            <w:tcW w:w="2490" w:type="dxa"/>
            <w:vAlign w:val="top"/>
          </w:tcPr>
          <w:p w14:paraId="606CC31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default"/>
                <w:b w:val="0"/>
                <w:bCs w:val="0"/>
                <w:highlight w:val="none"/>
                <w:lang w:val="en-US" w:eastAsia="zh-CN"/>
              </w:rPr>
              <w:t>Around 30 GHz: Up to 4096 Tx and Rx antenna elements</w:t>
            </w:r>
          </w:p>
        </w:tc>
        <w:tc>
          <w:tcPr>
            <w:tcW w:w="2491" w:type="dxa"/>
            <w:vAlign w:val="top"/>
          </w:tcPr>
          <w:p w14:paraId="50D2FD4F">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0E3C44A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8B1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85695B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vAlign w:val="top"/>
          </w:tcPr>
          <w:p w14:paraId="78EC5327">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38.803</w:t>
            </w:r>
          </w:p>
        </w:tc>
        <w:tc>
          <w:tcPr>
            <w:tcW w:w="2491" w:type="dxa"/>
            <w:vAlign w:val="top"/>
          </w:tcPr>
          <w:p w14:paraId="68263A16">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237DB35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67B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6117F0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shd w:val="clear" w:color="auto" w:fill="auto"/>
            <w:vAlign w:val="top"/>
          </w:tcPr>
          <w:p w14:paraId="5202D871">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33F9598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c>
          <w:tcPr>
            <w:tcW w:w="2491" w:type="dxa"/>
          </w:tcPr>
          <w:p w14:paraId="19AC958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3C358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2939A9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vAlign w:val="top"/>
          </w:tcPr>
          <w:p w14:paraId="0B2A48B2">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391B8C17">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084FEAB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C39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88BAAC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vAlign w:val="top"/>
          </w:tcPr>
          <w:p w14:paraId="56086EC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56925B6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4B0BFF9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bl>
    <w:p w14:paraId="0247A578">
      <w:pPr>
        <w:numPr>
          <w:ilvl w:val="0"/>
          <w:numId w:val="0"/>
        </w:numPr>
        <w:tabs>
          <w:tab w:val="left" w:pos="2127"/>
        </w:tabs>
        <w:spacing w:after="0"/>
        <w:jc w:val="both"/>
        <w:rPr>
          <w:rFonts w:hint="default"/>
          <w:b w:val="0"/>
          <w:bCs w:val="0"/>
          <w:lang w:val="en-US" w:eastAsia="zh-CN"/>
        </w:rPr>
      </w:pPr>
    </w:p>
    <w:p w14:paraId="0044C0C7">
      <w:pPr>
        <w:tabs>
          <w:tab w:val="left" w:pos="2127"/>
        </w:tabs>
        <w:spacing w:after="0"/>
        <w:jc w:val="left"/>
        <w:rPr>
          <w:rFonts w:hint="default"/>
          <w:b w:val="0"/>
          <w:bCs w:val="0"/>
          <w:highlight w:val="yellow"/>
          <w:lang w:val="en-US" w:eastAsia="zh-CN"/>
        </w:rPr>
      </w:pPr>
      <w:r>
        <w:rPr>
          <w:rFonts w:hint="eastAsia"/>
          <w:b/>
          <w:bCs/>
          <w:lang w:val="en-US" w:eastAsia="zh-CN"/>
        </w:rPr>
        <w:t>Proposal 30</w:t>
      </w:r>
      <w:r>
        <w:rPr>
          <w:rFonts w:hint="eastAsia"/>
          <w:lang w:val="en-US" w:eastAsia="zh-CN"/>
        </w:rPr>
        <w:t xml:space="preserve">: for the 6GR coexistence study, propose to consider the simulation assumptions as listed in </w:t>
      </w:r>
      <w:r>
        <w:rPr>
          <w:rFonts w:hint="eastAsia"/>
          <w:b w:val="0"/>
          <w:bCs w:val="0"/>
          <w:highlight w:val="none"/>
          <w:lang w:val="en-US" w:eastAsia="zh-CN"/>
        </w:rPr>
        <w:t>Table 2.4.2-1 and Table 2.4.2-2.</w:t>
      </w:r>
    </w:p>
    <w:bookmarkEnd w:id="1"/>
    <w:bookmarkEnd w:id="2"/>
    <w:bookmarkEnd w:id="3"/>
    <w:bookmarkEnd w:id="4"/>
    <w:p w14:paraId="5159F7DC">
      <w:pPr>
        <w:pStyle w:val="58"/>
        <w:tabs>
          <w:tab w:val="left" w:pos="567"/>
          <w:tab w:val="clear" w:pos="1985"/>
        </w:tabs>
        <w:adjustRightInd w:val="0"/>
        <w:ind w:left="510" w:hanging="510"/>
      </w:pPr>
      <w:r>
        <w:t>Conclusions</w:t>
      </w:r>
    </w:p>
    <w:p w14:paraId="2334507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b w:val="0"/>
          <w:bCs w:val="0"/>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r>
        <w:rPr>
          <w:rFonts w:hint="eastAsia"/>
          <w:b w:val="0"/>
          <w:bCs w:val="0"/>
          <w:lang w:val="en-US" w:eastAsia="zh-CN"/>
        </w:rPr>
        <w:t xml:space="preserve"> </w:t>
      </w:r>
    </w:p>
    <w:p w14:paraId="167B8EB0">
      <w:pPr>
        <w:tabs>
          <w:tab w:val="left" w:pos="2127"/>
        </w:tabs>
        <w:spacing w:after="0"/>
        <w:rPr>
          <w:rFonts w:hint="eastAsia"/>
          <w:lang w:val="en-US" w:eastAsia="zh-CN"/>
        </w:rPr>
      </w:pPr>
      <w:r>
        <w:rPr>
          <w:rFonts w:hint="eastAsia"/>
          <w:b/>
          <w:bCs/>
          <w:lang w:val="en-US" w:eastAsia="zh-CN"/>
        </w:rPr>
        <w:t>Proposal 1</w:t>
      </w:r>
      <w:r>
        <w:rPr>
          <w:rFonts w:hint="eastAsia"/>
          <w:lang w:val="en-US" w:eastAsia="zh-CN"/>
        </w:rPr>
        <w:t>: for 5G NR refarming bands, propose to use the RF requirement of 5G NR BS as starting point and make further improvement if confirmed to be necessary.</w:t>
      </w:r>
    </w:p>
    <w:p w14:paraId="306A6D6E">
      <w:pPr>
        <w:tabs>
          <w:tab w:val="left" w:pos="2127"/>
        </w:tabs>
        <w:spacing w:after="0"/>
        <w:rPr>
          <w:rFonts w:hint="default"/>
          <w:vertAlign w:val="baseline"/>
          <w:lang w:val="en-US" w:eastAsia="zh-CN"/>
        </w:rPr>
      </w:pPr>
      <w:r>
        <w:rPr>
          <w:rFonts w:hint="eastAsia"/>
          <w:b/>
          <w:bCs/>
          <w:lang w:val="en-US" w:eastAsia="zh-CN"/>
        </w:rPr>
        <w:t>Proposal 2</w:t>
      </w:r>
      <w:r>
        <w:rPr>
          <w:rFonts w:hint="eastAsia"/>
          <w:lang w:val="en-US" w:eastAsia="zh-CN"/>
        </w:rPr>
        <w:t>: for 6GR BS, propose to consider the following 5G BS types at least as starting point.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1"/>
        <w:gridCol w:w="3321"/>
      </w:tblGrid>
      <w:tr w14:paraId="59489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shd w:val="clear" w:color="auto" w:fill="BEBEBE" w:themeFill="background1" w:themeFillShade="BF"/>
          </w:tcPr>
          <w:p w14:paraId="5E90DD56">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6GR TN</w:t>
            </w:r>
          </w:p>
        </w:tc>
        <w:tc>
          <w:tcPr>
            <w:tcW w:w="3321" w:type="dxa"/>
            <w:shd w:val="clear" w:color="auto" w:fill="BEBEBE" w:themeFill="background1" w:themeFillShade="BF"/>
          </w:tcPr>
          <w:p w14:paraId="7DE168D8">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6GR NTN</w:t>
            </w:r>
          </w:p>
        </w:tc>
      </w:tr>
      <w:tr w14:paraId="0BD81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1B5B51AF">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NR BS</w:t>
            </w:r>
          </w:p>
        </w:tc>
        <w:tc>
          <w:tcPr>
            <w:tcW w:w="3321" w:type="dxa"/>
          </w:tcPr>
          <w:p w14:paraId="5282CE0A">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FR1 SAN</w:t>
            </w:r>
          </w:p>
        </w:tc>
      </w:tr>
      <w:tr w14:paraId="06BB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1F96EEC4">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 xml:space="preserve">Repeater, NCR </w:t>
            </w:r>
          </w:p>
          <w:p w14:paraId="16676CE8">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for coverage extension with low cost</w:t>
            </w:r>
          </w:p>
        </w:tc>
        <w:tc>
          <w:tcPr>
            <w:tcW w:w="3321" w:type="dxa"/>
          </w:tcPr>
          <w:p w14:paraId="36272CE8">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Ka-band SAN</w:t>
            </w:r>
          </w:p>
        </w:tc>
      </w:tr>
      <w:tr w14:paraId="46E4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1" w:type="dxa"/>
          </w:tcPr>
          <w:p w14:paraId="388FB298">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SBFD</w:t>
            </w:r>
          </w:p>
        </w:tc>
        <w:tc>
          <w:tcPr>
            <w:tcW w:w="3321" w:type="dxa"/>
          </w:tcPr>
          <w:p w14:paraId="5162977D">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Ku-band SAN</w:t>
            </w:r>
          </w:p>
        </w:tc>
      </w:tr>
    </w:tbl>
    <w:p w14:paraId="2AF835D3">
      <w:pPr>
        <w:tabs>
          <w:tab w:val="left" w:pos="2127"/>
        </w:tabs>
        <w:spacing w:after="0"/>
        <w:rPr>
          <w:rFonts w:hint="default" w:hAnsi="Cambria Math"/>
          <w:i w:val="0"/>
          <w:highlight w:val="none"/>
          <w:lang w:val="en-US" w:eastAsia="zh-CN"/>
        </w:rPr>
      </w:pPr>
      <w:r>
        <w:rPr>
          <w:rFonts w:hint="eastAsia"/>
          <w:b/>
          <w:bCs/>
          <w:lang w:val="en-US" w:eastAsia="zh-CN"/>
        </w:rPr>
        <w:t>Proposal 3:</w:t>
      </w:r>
      <w:r>
        <w:rPr>
          <w:rFonts w:hint="eastAsia"/>
          <w:b w:val="0"/>
          <w:bCs w:val="0"/>
          <w:lang w:val="en-US" w:eastAsia="zh-CN"/>
        </w:rPr>
        <w:t xml:space="preserve"> propose to consider the hybrid beamforming BS class in 6GR especially for around 7GHz 6GR BS.</w:t>
      </w:r>
    </w:p>
    <w:p w14:paraId="557DB367">
      <w:pPr>
        <w:tabs>
          <w:tab w:val="left" w:pos="2127"/>
        </w:tabs>
        <w:spacing w:after="0"/>
        <w:jc w:val="left"/>
        <w:rPr>
          <w:rFonts w:hint="eastAsia"/>
          <w:lang w:val="en-US" w:eastAsia="zh-CN"/>
        </w:rPr>
      </w:pPr>
      <w:r>
        <w:rPr>
          <w:rFonts w:hint="eastAsia"/>
          <w:b/>
          <w:bCs/>
          <w:lang w:val="en-US" w:eastAsia="zh-CN"/>
        </w:rPr>
        <w:t>Proposal 4:</w:t>
      </w:r>
      <w:r>
        <w:rPr>
          <w:rFonts w:hint="eastAsia"/>
          <w:lang w:val="en-US" w:eastAsia="zh-CN"/>
        </w:rPr>
        <w:t xml:space="preserve"> propose to consider the BS type 1-H at FR1 low bands as the evolution of the legacy BS type 1-C in 6G day1.</w:t>
      </w:r>
    </w:p>
    <w:p w14:paraId="09CD0ABC">
      <w:pPr>
        <w:tabs>
          <w:tab w:val="left" w:pos="2127"/>
        </w:tabs>
        <w:spacing w:after="0"/>
        <w:jc w:val="left"/>
        <w:rPr>
          <w:rFonts w:hint="eastAsia"/>
          <w:b w:val="0"/>
          <w:bCs w:val="0"/>
          <w:lang w:val="en-US" w:eastAsia="zh-CN"/>
        </w:rPr>
      </w:pPr>
      <w:r>
        <w:rPr>
          <w:rFonts w:hint="eastAsia"/>
          <w:b/>
          <w:bCs/>
          <w:lang w:val="en-US" w:eastAsia="zh-CN"/>
        </w:rPr>
        <w:t>Proposal 5:</w:t>
      </w:r>
      <w:r>
        <w:rPr>
          <w:rFonts w:hint="eastAsia"/>
          <w:lang w:val="en-US" w:eastAsia="zh-CN"/>
        </w:rPr>
        <w:t xml:space="preserve"> propose to support the in-band NB-IoT operation for BS type 1-H and BS type 1-O in 6G day1.</w:t>
      </w:r>
    </w:p>
    <w:p w14:paraId="2491160B">
      <w:pPr>
        <w:tabs>
          <w:tab w:val="left" w:pos="2127"/>
        </w:tabs>
        <w:spacing w:after="0"/>
        <w:jc w:val="left"/>
        <w:rPr>
          <w:rFonts w:hint="default"/>
          <w:b w:val="0"/>
          <w:bCs w:val="0"/>
          <w:lang w:val="en-US" w:eastAsia="zh-CN"/>
        </w:rPr>
      </w:pPr>
      <w:r>
        <w:rPr>
          <w:rFonts w:hint="eastAsia"/>
          <w:b/>
          <w:bCs/>
          <w:lang w:val="en-US" w:eastAsia="zh-CN"/>
        </w:rPr>
        <w:t>Proposal 6:</w:t>
      </w:r>
      <w:r>
        <w:rPr>
          <w:rFonts w:hint="eastAsia"/>
          <w:lang w:val="en-US" w:eastAsia="zh-CN"/>
        </w:rPr>
        <w:t xml:space="preserve"> if LP-WUS signal is supported in 6G day1, propose to further discuss the impacts on potential EVM degradation of NR signal due to the simultaneous LP-WUS signal transmission.</w:t>
      </w:r>
    </w:p>
    <w:p w14:paraId="7003C444">
      <w:pPr>
        <w:tabs>
          <w:tab w:val="left" w:pos="2127"/>
        </w:tabs>
        <w:spacing w:after="0"/>
        <w:jc w:val="left"/>
        <w:rPr>
          <w:rFonts w:hint="default"/>
          <w:b w:val="0"/>
          <w:bCs w:val="0"/>
          <w:lang w:val="en-US" w:eastAsia="zh-CN"/>
        </w:rPr>
      </w:pPr>
      <w:r>
        <w:rPr>
          <w:rFonts w:hint="eastAsia"/>
          <w:b/>
          <w:bCs/>
          <w:lang w:val="en-US" w:eastAsia="zh-CN"/>
        </w:rPr>
        <w:t>Proposal 7:</w:t>
      </w:r>
      <w:r>
        <w:rPr>
          <w:rFonts w:hint="eastAsia"/>
          <w:lang w:val="en-US" w:eastAsia="zh-CN"/>
        </w:rPr>
        <w:t xml:space="preserve"> in order to achieve the more accurate beam steering direction in 6G day1. propose to have some study  the architecture and RF feasibility on the calibrated beamforming steering for multi-band operation BS or wide spectrum operation BS instead of defining the fractional bandwidth for different rated EIRP.</w:t>
      </w:r>
    </w:p>
    <w:p w14:paraId="3F72B8A3">
      <w:pPr>
        <w:tabs>
          <w:tab w:val="left" w:pos="2127"/>
        </w:tabs>
        <w:spacing w:after="0"/>
        <w:jc w:val="left"/>
        <w:rPr>
          <w:rFonts w:hint="default"/>
          <w:b w:val="0"/>
          <w:bCs w:val="0"/>
          <w:lang w:val="en-US" w:eastAsia="zh-CN"/>
        </w:rPr>
      </w:pPr>
      <w:r>
        <w:rPr>
          <w:rFonts w:hint="eastAsia"/>
          <w:b/>
          <w:bCs/>
          <w:lang w:val="en-US" w:eastAsia="zh-CN"/>
        </w:rPr>
        <w:t>Proposal 8:</w:t>
      </w:r>
      <w:r>
        <w:rPr>
          <w:rFonts w:hint="eastAsia"/>
          <w:lang w:val="en-US" w:eastAsia="zh-CN"/>
        </w:rPr>
        <w:t xml:space="preserve"> for the multi-band operation, propose to consider the dynamic power sharing across different bands to improve the network capacity/coverage.</w:t>
      </w:r>
    </w:p>
    <w:p w14:paraId="1A30FC92">
      <w:pPr>
        <w:tabs>
          <w:tab w:val="left" w:pos="2127"/>
        </w:tabs>
        <w:spacing w:after="0"/>
        <w:jc w:val="left"/>
        <w:rPr>
          <w:rFonts w:hint="default"/>
          <w:b w:val="0"/>
          <w:bCs w:val="0"/>
          <w:lang w:val="en-US" w:eastAsia="zh-CN"/>
        </w:rPr>
      </w:pPr>
      <w:r>
        <w:rPr>
          <w:rFonts w:hint="eastAsia"/>
          <w:b/>
          <w:bCs/>
          <w:lang w:val="en-US" w:eastAsia="zh-CN"/>
        </w:rPr>
        <w:t>Proposal 9:</w:t>
      </w:r>
      <w:r>
        <w:rPr>
          <w:rFonts w:hint="eastAsia"/>
          <w:lang w:val="en-US" w:eastAsia="zh-CN"/>
        </w:rPr>
        <w:t xml:space="preserve"> for the efficient coverage extension, propose to consider the RIS deployment in 6G day1.</w:t>
      </w:r>
    </w:p>
    <w:p w14:paraId="609A6C1C">
      <w:pPr>
        <w:tabs>
          <w:tab w:val="left" w:pos="2127"/>
        </w:tabs>
        <w:spacing w:after="0"/>
        <w:jc w:val="left"/>
        <w:rPr>
          <w:rFonts w:hint="default"/>
          <w:b w:val="0"/>
          <w:bCs w:val="0"/>
          <w:lang w:val="en-US" w:eastAsia="zh-CN"/>
        </w:rPr>
      </w:pPr>
      <w:r>
        <w:rPr>
          <w:rFonts w:hint="eastAsia"/>
          <w:b/>
          <w:bCs/>
          <w:lang w:val="en-US" w:eastAsia="zh-CN"/>
        </w:rPr>
        <w:t>Proposal 10:</w:t>
      </w:r>
      <w:r>
        <w:rPr>
          <w:rFonts w:hint="eastAsia"/>
          <w:lang w:val="en-US" w:eastAsia="zh-CN"/>
        </w:rPr>
        <w:t xml:space="preserve"> for the sensing technology, propose to consider the 6G ISAC BS in 6G day1 at least.</w:t>
      </w:r>
    </w:p>
    <w:p w14:paraId="52118F49">
      <w:pPr>
        <w:tabs>
          <w:tab w:val="left" w:pos="2127"/>
        </w:tabs>
        <w:spacing w:after="0"/>
        <w:jc w:val="left"/>
        <w:rPr>
          <w:rFonts w:hint="eastAsia"/>
          <w:lang w:val="en-US" w:eastAsia="zh-CN"/>
        </w:rPr>
      </w:pPr>
      <w:r>
        <w:rPr>
          <w:rFonts w:hint="eastAsia"/>
          <w:b/>
          <w:bCs/>
          <w:lang w:val="en-US" w:eastAsia="zh-CN"/>
        </w:rPr>
        <w:t>Proposal 11</w:t>
      </w:r>
      <w:r>
        <w:rPr>
          <w:rFonts w:hint="eastAsia"/>
          <w:lang w:val="en-US" w:eastAsia="zh-CN"/>
        </w:rPr>
        <w:t>: for minimum EVM requirement of existing 5G modulation order of 6GR, propose to apply the 5G BS EVM requirement as starting point for 6GR BS.</w:t>
      </w:r>
    </w:p>
    <w:p w14:paraId="3F5AB19F">
      <w:pPr>
        <w:tabs>
          <w:tab w:val="left" w:pos="2127"/>
        </w:tabs>
        <w:spacing w:after="0"/>
        <w:jc w:val="left"/>
        <w:rPr>
          <w:rFonts w:hint="eastAsia"/>
          <w:lang w:val="en-US" w:eastAsia="zh-CN"/>
        </w:rPr>
      </w:pPr>
      <w:r>
        <w:rPr>
          <w:rFonts w:hint="eastAsia"/>
          <w:b/>
          <w:bCs/>
          <w:lang w:val="en-US" w:eastAsia="zh-CN"/>
        </w:rPr>
        <w:t>Proposal 12</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14:paraId="2AC974CB">
      <w:pPr>
        <w:tabs>
          <w:tab w:val="left" w:pos="2127"/>
        </w:tabs>
        <w:spacing w:after="0"/>
        <w:jc w:val="left"/>
        <w:rPr>
          <w:rFonts w:hint="default"/>
          <w:lang w:val="en-US" w:eastAsia="zh-CN"/>
        </w:rPr>
      </w:pPr>
      <w:r>
        <w:rPr>
          <w:rFonts w:hint="eastAsia"/>
          <w:b/>
          <w:bCs/>
          <w:lang w:val="en-US" w:eastAsia="zh-CN"/>
        </w:rPr>
        <w:t>Proposal 13</w:t>
      </w:r>
      <w:r>
        <w:rPr>
          <w:rFonts w:hint="eastAsia"/>
          <w:lang w:val="en-US" w:eastAsia="zh-CN"/>
        </w:rPr>
        <w:t xml:space="preserve">: for the relaxed EVM requirement for 6GR BS, propose to consider the </w:t>
      </w:r>
      <w:r>
        <w:rPr>
          <w:rFonts w:hint="eastAsia"/>
          <w:highlight w:val="none"/>
          <w:lang w:val="en-US" w:eastAsia="zh-CN"/>
        </w:rPr>
        <w:t>AI or non-AI based DPoD compensation at UE side to improve the DL coverage.</w:t>
      </w:r>
    </w:p>
    <w:p w14:paraId="49457BCA">
      <w:pPr>
        <w:tabs>
          <w:tab w:val="left" w:pos="2127"/>
        </w:tabs>
        <w:spacing w:after="0"/>
        <w:jc w:val="left"/>
        <w:rPr>
          <w:rFonts w:hint="eastAsia"/>
          <w:lang w:val="en-US" w:eastAsia="zh-CN"/>
        </w:rPr>
      </w:pPr>
      <w:r>
        <w:rPr>
          <w:rFonts w:hint="eastAsia"/>
          <w:b/>
          <w:bCs/>
          <w:lang w:val="en-US" w:eastAsia="zh-CN"/>
        </w:rPr>
        <w:t>Proposal 14</w:t>
      </w:r>
      <w:r>
        <w:rPr>
          <w:rFonts w:hint="eastAsia"/>
          <w:lang w:val="en-US" w:eastAsia="zh-CN"/>
        </w:rPr>
        <w:t xml:space="preserve">: for the MIMO TAE requirement for 6GR BS, propose to conduct the relevant physical layer evaluation with the TAE and different MIMO layers taken into account to define the more appropriate TAE requirement; </w:t>
      </w:r>
    </w:p>
    <w:p w14:paraId="54495EC7">
      <w:pPr>
        <w:tabs>
          <w:tab w:val="left" w:pos="2127"/>
        </w:tabs>
        <w:spacing w:after="0"/>
        <w:jc w:val="left"/>
        <w:rPr>
          <w:rFonts w:hint="eastAsia"/>
          <w:lang w:val="en-US" w:eastAsia="zh-CN"/>
        </w:rPr>
      </w:pPr>
      <w:r>
        <w:rPr>
          <w:rFonts w:hint="eastAsia"/>
          <w:b/>
          <w:bCs/>
          <w:lang w:val="en-US" w:eastAsia="zh-CN"/>
        </w:rPr>
        <w:t>Proposal 15:</w:t>
      </w:r>
      <w:r>
        <w:rPr>
          <w:rFonts w:hint="eastAsia"/>
          <w:lang w:val="en-US" w:eastAsia="zh-CN"/>
        </w:rPr>
        <w:t xml:space="preserve"> for TAE requirement among different transceivers for 6GR BS beamforming, propose to discuss the necessity and how to define the requirement for it in 6G day 1. </w:t>
      </w:r>
    </w:p>
    <w:p w14:paraId="28D8A541">
      <w:pPr>
        <w:tabs>
          <w:tab w:val="left" w:pos="2127"/>
        </w:tabs>
        <w:spacing w:after="0"/>
        <w:jc w:val="left"/>
        <w:rPr>
          <w:rFonts w:hint="default"/>
          <w:lang w:val="en-US" w:eastAsia="zh-CN"/>
        </w:rPr>
      </w:pPr>
      <w:r>
        <w:rPr>
          <w:rFonts w:hint="eastAsia"/>
          <w:b/>
          <w:bCs/>
          <w:lang w:val="en-US" w:eastAsia="zh-CN"/>
        </w:rPr>
        <w:t>Proposal 16</w:t>
      </w:r>
      <w:r>
        <w:rPr>
          <w:rFonts w:hint="eastAsia"/>
          <w:lang w:val="en-US" w:eastAsia="zh-CN"/>
        </w:rPr>
        <w:t>: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 then further discuss how and whether to specify the unified TAE requirement.</w:t>
      </w:r>
    </w:p>
    <w:p w14:paraId="36384E3C">
      <w:pPr>
        <w:tabs>
          <w:tab w:val="left" w:pos="2127"/>
        </w:tabs>
        <w:spacing w:after="0"/>
        <w:jc w:val="left"/>
        <w:rPr>
          <w:rFonts w:hint="eastAsia"/>
          <w:highlight w:val="none"/>
          <w:lang w:val="en-US" w:eastAsia="zh-CN"/>
        </w:rPr>
      </w:pPr>
      <w:r>
        <w:rPr>
          <w:rFonts w:hint="eastAsia"/>
          <w:b/>
          <w:bCs/>
          <w:highlight w:val="none"/>
          <w:lang w:val="en-US" w:eastAsia="zh-CN"/>
        </w:rPr>
        <w:t>Proposal 17</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14:paraId="399AE1EA">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Observation 1: the</w:t>
      </w:r>
      <w:r>
        <w:rPr>
          <w:rFonts w:hint="eastAsia" w:eastAsia="Times New Roman" w:cs="Times New Roman"/>
          <w:b w:val="0"/>
          <w:bCs w:val="0"/>
          <w:kern w:val="0"/>
          <w:sz w:val="20"/>
          <w:szCs w:val="20"/>
          <w:highlight w:val="none"/>
          <w:lang w:val="en-US" w:eastAsia="zh-CN" w:bidi="ar-SA"/>
        </w:rPr>
        <w:t xml:space="preserve"> FR1 inter-band CA TAE requirement in co-located scenario as 260ns is feasible.</w:t>
      </w:r>
    </w:p>
    <w:p w14:paraId="288374B7">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18:</w:t>
      </w:r>
      <w:r>
        <w:rPr>
          <w:rFonts w:hint="eastAsia"/>
          <w:highlight w:val="none"/>
          <w:lang w:val="en-US" w:eastAsia="zh-CN"/>
        </w:rPr>
        <w:t xml:space="preserve"> for the inter-band co-located CA for 6G BS, propose to discuss the optimal TAE requirement considering the NES with SSB-less operation in FR1 and FR2 UE Common beam management (CBM) in FR2-1,etc.</w:t>
      </w:r>
    </w:p>
    <w:p w14:paraId="736747F3">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highlight w:val="yellow"/>
          <w:lang w:val="en-US" w:eastAsia="zh-CN"/>
        </w:rPr>
      </w:pPr>
      <w:r>
        <w:rPr>
          <w:rFonts w:hint="eastAsia"/>
          <w:b/>
          <w:bCs/>
          <w:highlight w:val="none"/>
          <w:lang w:val="en-US" w:eastAsia="zh-CN"/>
        </w:rPr>
        <w:t xml:space="preserve">Proposal 19: </w:t>
      </w:r>
      <w:r>
        <w:rPr>
          <w:rFonts w:hint="eastAsia"/>
          <w:b w:val="0"/>
          <w:bCs w:val="0"/>
          <w:highlight w:val="none"/>
          <w:lang w:val="en-US" w:eastAsia="zh-CN"/>
        </w:rPr>
        <w:t xml:space="preserve">for the potential </w:t>
      </w:r>
      <w:r>
        <w:rPr>
          <w:rFonts w:hint="eastAsia"/>
          <w:highlight w:val="none"/>
          <w:lang w:val="en-US" w:eastAsia="zh-CN"/>
        </w:rPr>
        <w:t xml:space="preserve">new spectrum utilization mechanism, RAN4 need to discuss and define the corresponding TAE requirement to enable the potential RRM measurement across different carriers. </w:t>
      </w:r>
    </w:p>
    <w:p w14:paraId="2A82379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20</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14:paraId="7A70905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21</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14:paraId="067FE82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22</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14:paraId="11778A0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23</w:t>
      </w:r>
      <w:r>
        <w:rPr>
          <w:rFonts w:hint="eastAsia"/>
          <w:lang w:val="en-US" w:eastAsia="zh-CN"/>
        </w:rPr>
        <w:t xml:space="preserve">: for the ACLR requirement, propose to consider the performance balance between ACLR and EVM requirement instead of treating these two requirement separately. </w:t>
      </w:r>
    </w:p>
    <w:p w14:paraId="6D9F072C">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24</w:t>
      </w:r>
      <w:r>
        <w:rPr>
          <w:rFonts w:hint="eastAsia"/>
          <w:highlight w:val="none"/>
          <w:lang w:val="en-US" w:eastAsia="zh-CN"/>
        </w:rPr>
        <w:t>: for the conformance testing of U6GHz EEIRP mask in 6G, propose to consider the unequally distributed test beams across the whole coverage regions from the time domain (e.g.6GR BS need to provide the sensing or UAV service with periodic beams steering upwards) in addition to the equally distributed test beams in Rel-19.</w:t>
      </w:r>
    </w:p>
    <w:p w14:paraId="6AA527D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25</w:t>
      </w:r>
      <w:r>
        <w:rPr>
          <w:rFonts w:hint="eastAsia"/>
          <w:lang w:val="en-US" w:eastAsia="zh-CN"/>
        </w:rPr>
        <w:t>: for in-band blocking requirement of FR1 BS, propose to conduct the further study with more relevant coexistence assumptions to identify the appropriate requirement for 6GR BS.</w:t>
      </w:r>
    </w:p>
    <w:p w14:paraId="10DA6EA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26</w:t>
      </w:r>
      <w:r>
        <w:rPr>
          <w:rFonts w:hint="eastAsia"/>
          <w:lang w:val="en-US" w:eastAsia="zh-CN"/>
        </w:rPr>
        <w:t>: for out-of-band blocking requirement of FR1 BS, propose to conduct the further study with more relevant coexistence assumptions to identify the appropriate requirement for 6GR BS.</w:t>
      </w:r>
    </w:p>
    <w:p w14:paraId="492AA58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27</w:t>
      </w:r>
      <w:r>
        <w:rPr>
          <w:rFonts w:hint="eastAsia"/>
          <w:lang w:val="en-US" w:eastAsia="zh-CN"/>
        </w:rPr>
        <w:t>: in order to avoid the parallel discussion on improvement on FR1 c</w:t>
      </w:r>
      <w:r>
        <w:rPr>
          <w:rFonts w:hint="eastAsia"/>
          <w:b w:val="0"/>
          <w:bCs w:val="0"/>
          <w:lang w:val="en-US" w:eastAsia="zh-CN"/>
        </w:rPr>
        <w:t xml:space="preserve">o-location requirements and coexistence spurious emission requirements </w:t>
      </w:r>
      <w:r>
        <w:rPr>
          <w:rFonts w:hint="eastAsia"/>
          <w:lang w:val="en-US" w:eastAsia="zh-CN"/>
        </w:rPr>
        <w:t>between 5G-A and 6GR, propose to wait for the conclusion in 5G-A and make the necessary updates for RF requirements of 6GR BS.</w:t>
      </w:r>
    </w:p>
    <w:p w14:paraId="5B8B1AC6">
      <w:pPr>
        <w:tabs>
          <w:tab w:val="left" w:pos="2127"/>
        </w:tabs>
        <w:spacing w:after="0"/>
        <w:jc w:val="left"/>
        <w:rPr>
          <w:rFonts w:hint="eastAsia"/>
          <w:lang w:val="en-US" w:eastAsia="zh-CN"/>
        </w:rPr>
      </w:pPr>
      <w:r>
        <w:rPr>
          <w:rFonts w:hint="eastAsia"/>
          <w:b/>
          <w:bCs/>
          <w:lang w:val="en-US" w:eastAsia="zh-CN"/>
        </w:rPr>
        <w:t>Proposal 28</w:t>
      </w:r>
      <w:r>
        <w:rPr>
          <w:rFonts w:hint="eastAsia"/>
          <w:lang w:val="en-US" w:eastAsia="zh-CN"/>
        </w:rPr>
        <w:t xml:space="preserve">: for the enhanced 6GR BS type 1-H, propose to discuss the additional OTA requirement in addition to EIRP and EIS requirement for BS type 1-H to reflect the radiated performance more precisely. </w:t>
      </w:r>
    </w:p>
    <w:p w14:paraId="74E06493">
      <w:pPr>
        <w:tabs>
          <w:tab w:val="left" w:pos="2127"/>
        </w:tabs>
        <w:spacing w:after="0"/>
        <w:jc w:val="left"/>
        <w:rPr>
          <w:rFonts w:hint="default"/>
          <w:lang w:val="en-US" w:eastAsia="zh-CN"/>
        </w:rPr>
      </w:pPr>
      <w:r>
        <w:rPr>
          <w:rFonts w:hint="eastAsia"/>
          <w:b/>
          <w:bCs/>
          <w:lang w:val="en-US" w:eastAsia="zh-CN"/>
        </w:rPr>
        <w:t>Proposal 29</w:t>
      </w:r>
      <w:r>
        <w:rPr>
          <w:rFonts w:hint="eastAsia"/>
          <w:lang w:val="en-US" w:eastAsia="zh-CN"/>
        </w:rPr>
        <w:t>: for the 6GR coexistence study, propose to consider the coexistence cases as listed in Table 2.4.1-1.</w:t>
      </w:r>
    </w:p>
    <w:p w14:paraId="78A3B84D">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b w:val="0"/>
          <w:bCs w:val="0"/>
          <w:lang w:val="en-US" w:eastAsia="zh-CN"/>
        </w:rPr>
      </w:pPr>
      <w:r>
        <w:rPr>
          <w:rFonts w:hint="eastAsia"/>
          <w:lang w:val="en-US" w:eastAsia="zh-CN"/>
        </w:rPr>
        <w:t>Table 2.4.1-1. coexistence case for 6GR study</w:t>
      </w:r>
    </w:p>
    <w:tbl>
      <w:tblPr>
        <w:tblStyle w:val="26"/>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55"/>
        <w:gridCol w:w="1910"/>
        <w:gridCol w:w="3762"/>
        <w:gridCol w:w="2837"/>
      </w:tblGrid>
      <w:tr w14:paraId="146D4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87" w:type="pct"/>
            <w:shd w:val="clear" w:color="auto" w:fill="BEBEBE" w:themeFill="background1" w:themeFillShade="BF"/>
          </w:tcPr>
          <w:p w14:paraId="018D3B7E">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Scenario</w:t>
            </w:r>
          </w:p>
        </w:tc>
        <w:tc>
          <w:tcPr>
            <w:tcW w:w="968" w:type="pct"/>
            <w:shd w:val="clear" w:color="auto" w:fill="BEBEBE" w:themeFill="background1" w:themeFillShade="BF"/>
          </w:tcPr>
          <w:p w14:paraId="4EE79989">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FR</w:t>
            </w:r>
          </w:p>
        </w:tc>
        <w:tc>
          <w:tcPr>
            <w:tcW w:w="1907" w:type="pct"/>
            <w:shd w:val="clear" w:color="auto" w:fill="BEBEBE" w:themeFill="background1" w:themeFillShade="BF"/>
          </w:tcPr>
          <w:p w14:paraId="2922B161">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Aggressor</w:t>
            </w:r>
          </w:p>
        </w:tc>
        <w:tc>
          <w:tcPr>
            <w:tcW w:w="1436" w:type="pct"/>
            <w:shd w:val="clear" w:color="auto" w:fill="BEBEBE" w:themeFill="background1" w:themeFillShade="BF"/>
          </w:tcPr>
          <w:p w14:paraId="5F18F839">
            <w:pPr>
              <w:keepNext/>
              <w:keepLines/>
              <w:suppressLineNumbers w:val="0"/>
              <w:spacing w:before="0" w:beforeAutospacing="0" w:after="0" w:afterAutospacing="0"/>
              <w:ind w:left="0" w:right="0"/>
              <w:jc w:val="center"/>
              <w:rPr>
                <w:rFonts w:hint="default" w:ascii="Arial" w:hAnsi="Arial" w:eastAsia="等线"/>
                <w:b/>
                <w:sz w:val="18"/>
              </w:rPr>
            </w:pPr>
            <w:r>
              <w:rPr>
                <w:rFonts w:hint="default" w:ascii="Arial" w:hAnsi="Arial" w:eastAsia="等线"/>
                <w:b/>
                <w:sz w:val="18"/>
              </w:rPr>
              <w:t>Victim</w:t>
            </w:r>
          </w:p>
        </w:tc>
      </w:tr>
      <w:tr w14:paraId="7A20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5203A2FF">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default" w:ascii="Arial" w:hAnsi="Arial" w:eastAsia="等线"/>
                <w:sz w:val="18"/>
                <w:lang w:eastAsia="zh-CN"/>
              </w:rPr>
              <w:t>1</w:t>
            </w:r>
          </w:p>
        </w:tc>
        <w:tc>
          <w:tcPr>
            <w:tcW w:w="968" w:type="pct"/>
          </w:tcPr>
          <w:p w14:paraId="1CF0BA54">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5C622226">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7" w:type="pct"/>
          </w:tcPr>
          <w:p w14:paraId="6883DDB9">
            <w:pPr>
              <w:keepNext/>
              <w:keepLines/>
              <w:suppressLineNumbers w:val="0"/>
              <w:spacing w:before="0" w:beforeAutospacing="0" w:after="0" w:afterAutospacing="0"/>
              <w:ind w:left="0" w:right="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563DD4D7">
            <w:pPr>
              <w:keepNext/>
              <w:keepLines/>
              <w:suppressLineNumbers w:val="0"/>
              <w:spacing w:before="0" w:beforeAutospacing="0" w:after="0" w:afterAutospacing="0"/>
              <w:ind w:left="0" w:right="0"/>
              <w:jc w:val="center"/>
              <w:rPr>
                <w:rFonts w:hint="default" w:ascii="Arial" w:hAnsi="Arial" w:eastAsia="等线"/>
                <w:sz w:val="18"/>
                <w:lang w:val="en-US" w:eastAsia="zh-CN"/>
              </w:rPr>
            </w:pPr>
          </w:p>
        </w:tc>
        <w:tc>
          <w:tcPr>
            <w:tcW w:w="1436" w:type="pct"/>
            <w:shd w:val="clear" w:color="auto" w:fill="auto"/>
          </w:tcPr>
          <w:p w14:paraId="3A3EE946">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6GR with AAS</w:t>
            </w:r>
          </w:p>
          <w:p w14:paraId="3A074BF8">
            <w:pPr>
              <w:keepNext/>
              <w:keepLines/>
              <w:suppressLineNumbers w:val="0"/>
              <w:spacing w:before="0" w:beforeAutospacing="0" w:after="0" w:afterAutospacing="0"/>
              <w:ind w:left="0" w:right="0"/>
              <w:jc w:val="center"/>
              <w:rPr>
                <w:rFonts w:hint="default" w:ascii="Arial" w:hAnsi="Arial" w:eastAsia="等线"/>
                <w:sz w:val="18"/>
                <w:lang w:val="en-US" w:eastAsia="zh-CN"/>
              </w:rPr>
            </w:pPr>
          </w:p>
        </w:tc>
      </w:tr>
      <w:tr w14:paraId="5410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371FF8B0">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2</w:t>
            </w:r>
          </w:p>
        </w:tc>
        <w:tc>
          <w:tcPr>
            <w:tcW w:w="968" w:type="pct"/>
          </w:tcPr>
          <w:p w14:paraId="07262859">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FR1 low bands</w:t>
            </w:r>
          </w:p>
          <w:p w14:paraId="7881307F">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[e.g. 700MHz]</w:t>
            </w:r>
          </w:p>
        </w:tc>
        <w:tc>
          <w:tcPr>
            <w:tcW w:w="1907" w:type="pct"/>
          </w:tcPr>
          <w:p w14:paraId="575846E9">
            <w:pPr>
              <w:keepNext/>
              <w:keepLines/>
              <w:suppressLineNumbers w:val="0"/>
              <w:spacing w:before="0" w:beforeAutospacing="0" w:after="0" w:afterAutospacing="0"/>
              <w:ind w:left="0" w:right="0"/>
              <w:jc w:val="center"/>
              <w:rPr>
                <w:rFonts w:hint="eastAsia" w:ascii="Arial" w:hAnsi="Arial" w:eastAsia="等线"/>
                <w:sz w:val="18"/>
                <w:lang w:val="en-US" w:eastAsia="zh-CN"/>
              </w:rPr>
            </w:pPr>
            <w:r>
              <w:rPr>
                <w:rFonts w:hint="eastAsia" w:ascii="Arial" w:hAnsi="Arial" w:eastAsia="等线"/>
                <w:sz w:val="18"/>
                <w:lang w:val="en-US" w:eastAsia="zh-CN"/>
              </w:rPr>
              <w:t xml:space="preserve">   6GR with AAS</w:t>
            </w:r>
          </w:p>
          <w:p w14:paraId="13A6174D">
            <w:pPr>
              <w:keepNext/>
              <w:keepLines/>
              <w:suppressLineNumbers w:val="0"/>
              <w:spacing w:before="0" w:beforeAutospacing="0" w:after="0" w:afterAutospacing="0"/>
              <w:ind w:left="0" w:right="0"/>
              <w:jc w:val="center"/>
              <w:rPr>
                <w:rFonts w:hint="default" w:ascii="Arial" w:hAnsi="Arial" w:eastAsia="等线"/>
                <w:sz w:val="18"/>
                <w:lang w:val="en-US" w:eastAsia="zh-CN"/>
              </w:rPr>
            </w:pPr>
          </w:p>
        </w:tc>
        <w:tc>
          <w:tcPr>
            <w:tcW w:w="1436" w:type="pct"/>
            <w:shd w:val="clear" w:color="auto" w:fill="auto"/>
          </w:tcPr>
          <w:p w14:paraId="27817A5A">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5G with passive antenna</w:t>
            </w:r>
          </w:p>
        </w:tc>
      </w:tr>
      <w:tr w14:paraId="577C1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06BF6391">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3</w:t>
            </w:r>
          </w:p>
        </w:tc>
        <w:tc>
          <w:tcPr>
            <w:tcW w:w="968" w:type="pct"/>
            <w:vAlign w:val="top"/>
          </w:tcPr>
          <w:p w14:paraId="632020F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4F78D7E6">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7" w:type="pct"/>
            <w:vAlign w:val="top"/>
          </w:tcPr>
          <w:p w14:paraId="404FDC4F">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   6GR with larger antenna array</w:t>
            </w:r>
          </w:p>
        </w:tc>
        <w:tc>
          <w:tcPr>
            <w:tcW w:w="1436" w:type="pct"/>
            <w:shd w:val="clear" w:color="auto" w:fill="auto"/>
            <w:vAlign w:val="top"/>
          </w:tcPr>
          <w:p w14:paraId="66CB671C">
            <w:pPr>
              <w:keepNext/>
              <w:keepLines/>
              <w:suppressLineNumbers w:val="0"/>
              <w:spacing w:before="0" w:beforeAutospacing="0" w:after="0" w:afterAutospacing="0"/>
              <w:ind w:left="0" w:leftChars="0" w:right="0" w:rightChars="0"/>
              <w:jc w:val="center"/>
              <w:rPr>
                <w:rFonts w:hint="default" w:ascii="Arial" w:hAnsi="Arial" w:eastAsia="等线"/>
                <w:sz w:val="18"/>
                <w:lang w:eastAsia="zh-CN"/>
              </w:rPr>
            </w:pPr>
            <w:r>
              <w:rPr>
                <w:rFonts w:hint="eastAsia" w:ascii="Arial" w:hAnsi="Arial" w:eastAsia="等线"/>
                <w:sz w:val="18"/>
                <w:lang w:val="en-US" w:eastAsia="zh-CN"/>
              </w:rPr>
              <w:t xml:space="preserve"> 6GR with larger antenna array</w:t>
            </w:r>
          </w:p>
        </w:tc>
      </w:tr>
      <w:tr w14:paraId="75DDF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32DAE22C">
            <w:pPr>
              <w:keepNext/>
              <w:keepLines/>
              <w:suppressLineNumbers w:val="0"/>
              <w:spacing w:before="0" w:beforeAutospacing="0" w:after="0" w:afterAutospacing="0"/>
              <w:ind w:left="0" w:right="0"/>
              <w:jc w:val="center"/>
              <w:rPr>
                <w:rFonts w:hint="default" w:ascii="Arial" w:hAnsi="Arial" w:eastAsia="等线"/>
                <w:sz w:val="18"/>
                <w:lang w:eastAsia="zh-CN"/>
              </w:rPr>
            </w:pPr>
            <w:r>
              <w:rPr>
                <w:rFonts w:hint="eastAsia" w:ascii="Arial" w:hAnsi="Arial" w:eastAsia="等线"/>
                <w:sz w:val="18"/>
                <w:lang w:val="en-US" w:eastAsia="zh-CN"/>
              </w:rPr>
              <w:t>4</w:t>
            </w:r>
          </w:p>
        </w:tc>
        <w:tc>
          <w:tcPr>
            <w:tcW w:w="968" w:type="pct"/>
            <w:vAlign w:val="top"/>
          </w:tcPr>
          <w:p w14:paraId="21482405">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FR1 Mid bands</w:t>
            </w:r>
          </w:p>
          <w:p w14:paraId="031E5AA4">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[e.g. 4GHz]</w:t>
            </w:r>
          </w:p>
        </w:tc>
        <w:tc>
          <w:tcPr>
            <w:tcW w:w="1907" w:type="pct"/>
            <w:vAlign w:val="top"/>
          </w:tcPr>
          <w:p w14:paraId="3574756D">
            <w:pPr>
              <w:keepNext/>
              <w:keepLines/>
              <w:suppressLineNumbers w:val="0"/>
              <w:spacing w:before="0" w:beforeAutospacing="0" w:after="0" w:afterAutospacing="0"/>
              <w:ind w:left="0" w:leftChars="0" w:right="0" w:rightChars="0"/>
              <w:jc w:val="center"/>
              <w:rPr>
                <w:rFonts w:hint="default" w:ascii="Arial" w:hAnsi="Arial" w:eastAsia="等线"/>
                <w:sz w:val="18"/>
                <w:lang w:eastAsia="zh-CN"/>
              </w:rPr>
            </w:pPr>
            <w:r>
              <w:rPr>
                <w:rFonts w:hint="eastAsia" w:ascii="Arial" w:hAnsi="Arial" w:eastAsia="等线"/>
                <w:sz w:val="18"/>
                <w:lang w:val="en-US" w:eastAsia="zh-CN"/>
              </w:rPr>
              <w:t xml:space="preserve">   6GR with larger antenna array</w:t>
            </w:r>
          </w:p>
        </w:tc>
        <w:tc>
          <w:tcPr>
            <w:tcW w:w="1436" w:type="pct"/>
            <w:shd w:val="clear" w:color="auto" w:fill="auto"/>
            <w:vAlign w:val="top"/>
          </w:tcPr>
          <w:p w14:paraId="1ECEF36F">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 xml:space="preserve"> 5G with legacy antenna array </w:t>
            </w:r>
          </w:p>
        </w:tc>
      </w:tr>
      <w:tr w14:paraId="00B7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7475E945">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5</w:t>
            </w:r>
          </w:p>
        </w:tc>
        <w:tc>
          <w:tcPr>
            <w:tcW w:w="968" w:type="pct"/>
            <w:vAlign w:val="top"/>
          </w:tcPr>
          <w:p w14:paraId="5DE1053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38D03746">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7" w:type="pct"/>
            <w:vAlign w:val="top"/>
          </w:tcPr>
          <w:p w14:paraId="150C7705">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0A7AF12C">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p>
        </w:tc>
        <w:tc>
          <w:tcPr>
            <w:tcW w:w="1436" w:type="pct"/>
            <w:shd w:val="clear" w:color="auto" w:fill="auto"/>
            <w:vAlign w:val="top"/>
          </w:tcPr>
          <w:p w14:paraId="4D6EEDA9">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2AFE4D4A">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p>
        </w:tc>
      </w:tr>
      <w:tr w14:paraId="5C601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537A17E6">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6</w:t>
            </w:r>
          </w:p>
        </w:tc>
        <w:tc>
          <w:tcPr>
            <w:tcW w:w="968" w:type="pct"/>
            <w:vAlign w:val="top"/>
          </w:tcPr>
          <w:p w14:paraId="12AFA0CE">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Around 7GHz </w:t>
            </w:r>
          </w:p>
          <w:p w14:paraId="2394500F">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(NOTE1,2)</w:t>
            </w:r>
          </w:p>
        </w:tc>
        <w:tc>
          <w:tcPr>
            <w:tcW w:w="1907" w:type="pct"/>
            <w:vAlign w:val="top"/>
          </w:tcPr>
          <w:p w14:paraId="21095798">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  6GR with larger antenna array</w:t>
            </w:r>
          </w:p>
          <w:p w14:paraId="35A1C06C">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p>
        </w:tc>
        <w:tc>
          <w:tcPr>
            <w:tcW w:w="1436" w:type="pct"/>
            <w:shd w:val="clear" w:color="auto" w:fill="auto"/>
            <w:vAlign w:val="top"/>
          </w:tcPr>
          <w:p w14:paraId="1CA5B3F7">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 xml:space="preserve">5G with legacy antenna array </w:t>
            </w:r>
          </w:p>
          <w:p w14:paraId="3AB6152A">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p>
        </w:tc>
      </w:tr>
      <w:tr w14:paraId="4E8EE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15E671F7">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7</w:t>
            </w:r>
          </w:p>
        </w:tc>
        <w:tc>
          <w:tcPr>
            <w:tcW w:w="968" w:type="pct"/>
            <w:vAlign w:val="top"/>
          </w:tcPr>
          <w:p w14:paraId="78339865">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28GHz</w:t>
            </w:r>
          </w:p>
          <w:p w14:paraId="58771A63">
            <w:pPr>
              <w:keepNext/>
              <w:keepLines/>
              <w:suppressLineNumbers w:val="0"/>
              <w:spacing w:before="0" w:beforeAutospacing="0" w:after="0" w:afterAutospacing="0"/>
              <w:ind w:left="0" w:leftChars="0" w:right="0" w:rightChars="0"/>
              <w:jc w:val="center"/>
              <w:rPr>
                <w:rFonts w:hint="default" w:ascii="Arial" w:hAnsi="Arial" w:eastAsia="等线"/>
                <w:sz w:val="18"/>
                <w:lang w:val="en-US" w:eastAsia="zh-CN"/>
              </w:rPr>
            </w:pPr>
            <w:r>
              <w:rPr>
                <w:rFonts w:hint="eastAsia" w:ascii="Arial" w:hAnsi="Arial" w:eastAsia="等线"/>
                <w:sz w:val="18"/>
                <w:lang w:val="en-US" w:eastAsia="zh-CN"/>
              </w:rPr>
              <w:t>(NOTE 3)</w:t>
            </w:r>
          </w:p>
        </w:tc>
        <w:tc>
          <w:tcPr>
            <w:tcW w:w="1907" w:type="pct"/>
            <w:vAlign w:val="top"/>
          </w:tcPr>
          <w:p w14:paraId="59B17632">
            <w:pPr>
              <w:keepNext/>
              <w:keepLines/>
              <w:suppressLineNumbers w:val="0"/>
              <w:spacing w:before="0" w:beforeAutospacing="0" w:after="0" w:afterAutospacing="0"/>
              <w:ind w:left="0" w:leftChars="0" w:right="0" w:rightChars="0"/>
              <w:jc w:val="both"/>
              <w:rPr>
                <w:rFonts w:hint="default" w:ascii="Arial" w:hAnsi="Arial" w:eastAsia="等线"/>
                <w:sz w:val="18"/>
                <w:lang w:val="en-US" w:eastAsia="zh-CN"/>
              </w:rPr>
            </w:pPr>
            <w:r>
              <w:rPr>
                <w:rFonts w:hint="eastAsia" w:ascii="Arial" w:hAnsi="Arial" w:eastAsia="等线"/>
                <w:sz w:val="18"/>
                <w:lang w:val="en-US" w:eastAsia="zh-CN"/>
              </w:rPr>
              <w:t xml:space="preserve">                 6GR with AAS</w:t>
            </w:r>
          </w:p>
        </w:tc>
        <w:tc>
          <w:tcPr>
            <w:tcW w:w="1436" w:type="pct"/>
            <w:shd w:val="clear" w:color="auto" w:fill="auto"/>
            <w:vAlign w:val="top"/>
          </w:tcPr>
          <w:p w14:paraId="580B3B59">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6GR with AAS</w:t>
            </w:r>
          </w:p>
        </w:tc>
      </w:tr>
      <w:tr w14:paraId="64D8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60FAC630">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8</w:t>
            </w:r>
          </w:p>
        </w:tc>
        <w:tc>
          <w:tcPr>
            <w:tcW w:w="968" w:type="pct"/>
            <w:vAlign w:val="top"/>
          </w:tcPr>
          <w:p w14:paraId="0F44CA97">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28GHz</w:t>
            </w:r>
          </w:p>
          <w:p w14:paraId="75A23DB0">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(NOTE 3)</w:t>
            </w:r>
          </w:p>
        </w:tc>
        <w:tc>
          <w:tcPr>
            <w:tcW w:w="1907" w:type="pct"/>
            <w:vAlign w:val="top"/>
          </w:tcPr>
          <w:p w14:paraId="07A622AE">
            <w:pPr>
              <w:keepNext/>
              <w:keepLines/>
              <w:suppressLineNumbers w:val="0"/>
              <w:spacing w:before="0" w:beforeAutospacing="0" w:after="0" w:afterAutospacing="0"/>
              <w:ind w:left="0" w:leftChars="0" w:right="0" w:rightChars="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tc>
        <w:tc>
          <w:tcPr>
            <w:tcW w:w="1436" w:type="pct"/>
            <w:shd w:val="clear" w:color="auto" w:fill="auto"/>
            <w:vAlign w:val="top"/>
          </w:tcPr>
          <w:p w14:paraId="7B915BFD">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AAS</w:t>
            </w:r>
          </w:p>
        </w:tc>
      </w:tr>
      <w:tr w14:paraId="095E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14702338">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9</w:t>
            </w:r>
          </w:p>
        </w:tc>
        <w:tc>
          <w:tcPr>
            <w:tcW w:w="968" w:type="pct"/>
            <w:vAlign w:val="top"/>
          </w:tcPr>
          <w:p w14:paraId="201AE23D">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40GHz</w:t>
            </w:r>
          </w:p>
          <w:p w14:paraId="531E975E">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(NOTE 3)</w:t>
            </w:r>
          </w:p>
        </w:tc>
        <w:tc>
          <w:tcPr>
            <w:tcW w:w="1907" w:type="pct"/>
            <w:vAlign w:val="top"/>
          </w:tcPr>
          <w:p w14:paraId="24AFC9A9">
            <w:pPr>
              <w:keepNext/>
              <w:keepLines/>
              <w:suppressLineNumbers w:val="0"/>
              <w:spacing w:before="0" w:beforeAutospacing="0" w:after="0" w:afterAutospacing="0"/>
              <w:ind w:left="0" w:leftChars="0" w:right="0" w:rightChars="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tc>
        <w:tc>
          <w:tcPr>
            <w:tcW w:w="1436" w:type="pct"/>
            <w:shd w:val="clear" w:color="auto" w:fill="auto"/>
            <w:vAlign w:val="top"/>
          </w:tcPr>
          <w:p w14:paraId="0F8865BA">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6GR with AAS</w:t>
            </w:r>
          </w:p>
        </w:tc>
      </w:tr>
      <w:tr w14:paraId="3A97C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87" w:type="pct"/>
          </w:tcPr>
          <w:p w14:paraId="18E22EEE">
            <w:pPr>
              <w:keepNext/>
              <w:keepLines/>
              <w:suppressLineNumbers w:val="0"/>
              <w:spacing w:before="0" w:beforeAutospacing="0" w:after="0" w:afterAutospacing="0"/>
              <w:ind w:left="0" w:right="0"/>
              <w:jc w:val="center"/>
              <w:rPr>
                <w:rFonts w:hint="default" w:ascii="Arial" w:hAnsi="Arial" w:eastAsia="等线"/>
                <w:sz w:val="18"/>
                <w:lang w:val="en-US" w:eastAsia="zh-CN"/>
              </w:rPr>
            </w:pPr>
            <w:r>
              <w:rPr>
                <w:rFonts w:hint="eastAsia" w:ascii="Arial" w:hAnsi="Arial" w:eastAsia="等线"/>
                <w:sz w:val="18"/>
                <w:lang w:val="en-US" w:eastAsia="zh-CN"/>
              </w:rPr>
              <w:t>10</w:t>
            </w:r>
          </w:p>
        </w:tc>
        <w:tc>
          <w:tcPr>
            <w:tcW w:w="968" w:type="pct"/>
            <w:vAlign w:val="top"/>
          </w:tcPr>
          <w:p w14:paraId="2CC07336">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FR2-1 40GHz</w:t>
            </w:r>
          </w:p>
          <w:p w14:paraId="095A1CAF">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(NOTE 3)</w:t>
            </w:r>
          </w:p>
        </w:tc>
        <w:tc>
          <w:tcPr>
            <w:tcW w:w="1907" w:type="pct"/>
            <w:vAlign w:val="top"/>
          </w:tcPr>
          <w:p w14:paraId="5A212249">
            <w:pPr>
              <w:keepNext/>
              <w:keepLines/>
              <w:suppressLineNumbers w:val="0"/>
              <w:spacing w:before="0" w:beforeAutospacing="0" w:after="0" w:afterAutospacing="0"/>
              <w:ind w:left="0" w:leftChars="0" w:right="0" w:rightChars="0"/>
              <w:jc w:val="both"/>
              <w:rPr>
                <w:rFonts w:hint="eastAsia" w:ascii="Arial" w:hAnsi="Arial" w:eastAsia="等线"/>
                <w:sz w:val="18"/>
                <w:lang w:val="en-US" w:eastAsia="zh-CN"/>
              </w:rPr>
            </w:pPr>
            <w:r>
              <w:rPr>
                <w:rFonts w:hint="eastAsia" w:ascii="Arial" w:hAnsi="Arial" w:eastAsia="等线"/>
                <w:sz w:val="18"/>
                <w:lang w:val="en-US" w:eastAsia="zh-CN"/>
              </w:rPr>
              <w:t xml:space="preserve">                 6GR with AAS</w:t>
            </w:r>
          </w:p>
        </w:tc>
        <w:tc>
          <w:tcPr>
            <w:tcW w:w="1436" w:type="pct"/>
            <w:shd w:val="clear" w:color="auto" w:fill="auto"/>
            <w:vAlign w:val="top"/>
          </w:tcPr>
          <w:p w14:paraId="78C8B039">
            <w:pPr>
              <w:keepNext/>
              <w:keepLines/>
              <w:suppressLineNumbers w:val="0"/>
              <w:spacing w:before="0" w:beforeAutospacing="0" w:after="0" w:afterAutospacing="0"/>
              <w:ind w:left="0" w:leftChars="0" w:right="0" w:rightChars="0"/>
              <w:jc w:val="center"/>
              <w:rPr>
                <w:rFonts w:hint="eastAsia" w:ascii="Arial" w:hAnsi="Arial" w:eastAsia="等线"/>
                <w:sz w:val="18"/>
                <w:lang w:val="en-US" w:eastAsia="zh-CN"/>
              </w:rPr>
            </w:pPr>
            <w:r>
              <w:rPr>
                <w:rFonts w:hint="eastAsia" w:ascii="Arial" w:hAnsi="Arial" w:eastAsia="等线"/>
                <w:sz w:val="18"/>
                <w:lang w:val="en-US" w:eastAsia="zh-CN"/>
              </w:rPr>
              <w:t>5G with AAS</w:t>
            </w:r>
          </w:p>
        </w:tc>
      </w:tr>
      <w:tr w14:paraId="1A7B8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17835DFB">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1: 6GR non-SBFD BS coexists with 6GR non-SBFD BS BS with larger antenna array than assumption in TR 38.921.</w:t>
            </w:r>
          </w:p>
          <w:p w14:paraId="7417EC95">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2: 6GR SBFD BS coexists with 6GR SBFD BS;</w:t>
            </w:r>
          </w:p>
          <w:p w14:paraId="6F8E9C78">
            <w:pPr>
              <w:keepNext/>
              <w:keepLines/>
              <w:suppressLineNumbers w:val="0"/>
              <w:spacing w:before="0" w:beforeAutospacing="0" w:after="0" w:afterAutospacing="0"/>
              <w:ind w:left="0" w:leftChars="0" w:right="0" w:rightChars="0"/>
              <w:jc w:val="left"/>
              <w:rPr>
                <w:rFonts w:hint="default" w:ascii="Arial" w:hAnsi="Arial" w:eastAsia="等线"/>
                <w:sz w:val="18"/>
                <w:lang w:val="en-US" w:eastAsia="zh-CN"/>
              </w:rPr>
            </w:pPr>
            <w:r>
              <w:rPr>
                <w:rFonts w:hint="eastAsia" w:ascii="Arial" w:hAnsi="Arial" w:eastAsia="等线"/>
                <w:sz w:val="18"/>
                <w:lang w:val="en-US" w:eastAsia="zh-CN"/>
              </w:rPr>
              <w:t>NOTE 3: The simulation assumption captured in TR38.803 is too aggressive with BS maximum output power up to 43dBm.</w:t>
            </w:r>
          </w:p>
        </w:tc>
      </w:tr>
    </w:tbl>
    <w:p w14:paraId="77B682A7">
      <w:pPr>
        <w:tabs>
          <w:tab w:val="left" w:pos="2127"/>
        </w:tabs>
        <w:spacing w:after="0"/>
        <w:jc w:val="left"/>
        <w:rPr>
          <w:rFonts w:hint="eastAsia"/>
          <w:b w:val="0"/>
          <w:bCs w:val="0"/>
          <w:highlight w:val="none"/>
          <w:lang w:val="en-US" w:eastAsia="zh-CN"/>
        </w:rPr>
      </w:pPr>
      <w:r>
        <w:rPr>
          <w:rFonts w:hint="eastAsia"/>
          <w:b/>
          <w:bCs/>
          <w:lang w:val="en-US" w:eastAsia="zh-CN"/>
        </w:rPr>
        <w:t>Proposal 30</w:t>
      </w:r>
      <w:r>
        <w:rPr>
          <w:rFonts w:hint="eastAsia"/>
          <w:lang w:val="en-US" w:eastAsia="zh-CN"/>
        </w:rPr>
        <w:t xml:space="preserve">: for the 6GR coexistence study, propose to consider the simulation assumptions as listed in </w:t>
      </w:r>
      <w:r>
        <w:rPr>
          <w:rFonts w:hint="eastAsia"/>
          <w:b w:val="0"/>
          <w:bCs w:val="0"/>
          <w:highlight w:val="none"/>
          <w:lang w:val="en-US" w:eastAsia="zh-CN"/>
        </w:rPr>
        <w:t>Table 2.4.2-1 and Table 2.4.2-2.</w:t>
      </w:r>
    </w:p>
    <w:p w14:paraId="39B93B8B">
      <w:p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2.4.2-1. general parameters for up to 7GHz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2001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53B341A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tcPr>
          <w:p w14:paraId="245C90E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58DF2DF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1C0E022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3246472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3052BC6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46F9257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tcPr>
          <w:p w14:paraId="774013EF">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29724C8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00324AF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Indoor</w:t>
            </w:r>
          </w:p>
        </w:tc>
      </w:tr>
      <w:tr w14:paraId="38B6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35015BD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tcPr>
          <w:p w14:paraId="48635E7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37C0D51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tcPr>
          <w:p w14:paraId="1B685FE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38.901</w:t>
            </w:r>
          </w:p>
        </w:tc>
      </w:tr>
      <w:tr w14:paraId="51235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AAEC10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BS Antenna configuration</w:t>
            </w:r>
          </w:p>
        </w:tc>
        <w:tc>
          <w:tcPr>
            <w:tcW w:w="2490" w:type="dxa"/>
          </w:tcPr>
          <w:p w14:paraId="3E64F0F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r>
              <w:rPr>
                <w:rFonts w:hint="default"/>
                <w:b w:val="0"/>
                <w:bCs w:val="0"/>
                <w:highlight w:val="none"/>
                <w:lang w:val="en-US" w:eastAsia="zh-CN"/>
              </w:rPr>
              <w:t>Around 700 MHz: Up to 64 Tx and Rx antenna elements</w:t>
            </w:r>
          </w:p>
        </w:tc>
        <w:tc>
          <w:tcPr>
            <w:tcW w:w="2491" w:type="dxa"/>
          </w:tcPr>
          <w:p w14:paraId="1C0CE15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4 GHz: Up to 576 Tx and Rx antenna elements</w:t>
            </w:r>
          </w:p>
          <w:p w14:paraId="717F4F4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c>
          <w:tcPr>
            <w:tcW w:w="2491" w:type="dxa"/>
          </w:tcPr>
          <w:p w14:paraId="18D0155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lang w:val="en-US" w:eastAsia="zh-CN"/>
              </w:rPr>
            </w:pPr>
            <w:r>
              <w:rPr>
                <w:rFonts w:hint="default"/>
                <w:b w:val="0"/>
                <w:bCs w:val="0"/>
                <w:highlight w:val="none"/>
                <w:lang w:val="en-US" w:eastAsia="zh-CN"/>
              </w:rPr>
              <w:t>Around 7 GHz: Up to 2304 Tx and Rx antenna elements</w:t>
            </w:r>
          </w:p>
          <w:p w14:paraId="091E195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highlight w:val="none"/>
                <w:vertAlign w:val="baseline"/>
                <w:lang w:val="en-US" w:eastAsia="zh-CN"/>
              </w:rPr>
            </w:pPr>
          </w:p>
        </w:tc>
      </w:tr>
      <w:tr w14:paraId="1D49A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auto"/>
            <w:vAlign w:val="top"/>
          </w:tcPr>
          <w:p w14:paraId="7F5FD33B">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UE Antenna configuration</w:t>
            </w:r>
          </w:p>
        </w:tc>
        <w:tc>
          <w:tcPr>
            <w:tcW w:w="2490" w:type="dxa"/>
          </w:tcPr>
          <w:p w14:paraId="252A071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Omini antenna</w:t>
            </w:r>
          </w:p>
        </w:tc>
        <w:tc>
          <w:tcPr>
            <w:tcW w:w="2491" w:type="dxa"/>
          </w:tcPr>
          <w:p w14:paraId="02CCC70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Omini antenna</w:t>
            </w:r>
          </w:p>
        </w:tc>
        <w:tc>
          <w:tcPr>
            <w:tcW w:w="2491" w:type="dxa"/>
          </w:tcPr>
          <w:p w14:paraId="4945260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Omini antenna</w:t>
            </w:r>
          </w:p>
        </w:tc>
      </w:tr>
      <w:tr w14:paraId="543C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0D430C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tcPr>
          <w:p w14:paraId="4222286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5FC93A8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524B2B4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r>
      <w:tr w14:paraId="0494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E110A1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tcPr>
          <w:p w14:paraId="177BF5F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Depends ACLR modelling</w:t>
            </w:r>
          </w:p>
        </w:tc>
        <w:tc>
          <w:tcPr>
            <w:tcW w:w="2491" w:type="dxa"/>
            <w:shd w:val="clear" w:color="auto" w:fill="auto"/>
            <w:vAlign w:val="top"/>
          </w:tcPr>
          <w:p w14:paraId="43E4405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2BEEC776">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r>
      <w:tr w14:paraId="27EC7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56BEEF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tcPr>
          <w:p w14:paraId="3ED674C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381BD58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5A6C902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r>
      <w:tr w14:paraId="5E18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EB6CCE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tcPr>
          <w:p w14:paraId="334F485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0AECE8B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tcPr>
          <w:p w14:paraId="294201A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Refer to 38.922</w:t>
            </w:r>
          </w:p>
        </w:tc>
      </w:tr>
    </w:tbl>
    <w:p w14:paraId="76F71182">
      <w:pPr>
        <w:numPr>
          <w:ilvl w:val="0"/>
          <w:numId w:val="0"/>
        </w:numPr>
        <w:tabs>
          <w:tab w:val="left" w:pos="2127"/>
        </w:tabs>
        <w:spacing w:after="0"/>
        <w:jc w:val="both"/>
        <w:rPr>
          <w:rFonts w:hint="default"/>
          <w:b w:val="0"/>
          <w:bCs w:val="0"/>
          <w:lang w:val="en-US" w:eastAsia="zh-CN"/>
        </w:rPr>
      </w:pPr>
    </w:p>
    <w:p w14:paraId="060740B5">
      <w:pPr>
        <w:numPr>
          <w:ilvl w:val="0"/>
          <w:numId w:val="0"/>
        </w:num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Table 2.4.2-2. general parameters for 30GHz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1"/>
        <w:gridCol w:w="2491"/>
      </w:tblGrid>
      <w:tr w14:paraId="6C5B6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shd w:val="clear" w:color="auto" w:fill="BEBEBE" w:themeFill="background1" w:themeFillShade="BF"/>
          </w:tcPr>
          <w:p w14:paraId="5DD649D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FR</w:t>
            </w:r>
          </w:p>
        </w:tc>
        <w:tc>
          <w:tcPr>
            <w:tcW w:w="2490" w:type="dxa"/>
            <w:shd w:val="clear" w:color="auto" w:fill="BEBEBE" w:themeFill="background1" w:themeFillShade="BF"/>
          </w:tcPr>
          <w:p w14:paraId="10ECBF4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30GHz</w:t>
            </w:r>
          </w:p>
        </w:tc>
        <w:tc>
          <w:tcPr>
            <w:tcW w:w="2491" w:type="dxa"/>
            <w:shd w:val="clear" w:color="auto" w:fill="BEBEBE" w:themeFill="background1" w:themeFillShade="BF"/>
          </w:tcPr>
          <w:p w14:paraId="57FC495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40GHz</w:t>
            </w:r>
          </w:p>
        </w:tc>
        <w:tc>
          <w:tcPr>
            <w:tcW w:w="2491" w:type="dxa"/>
            <w:shd w:val="clear" w:color="auto" w:fill="BEBEBE" w:themeFill="background1" w:themeFillShade="BF"/>
          </w:tcPr>
          <w:p w14:paraId="759F1A5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Remarks</w:t>
            </w:r>
          </w:p>
        </w:tc>
      </w:tr>
      <w:tr w14:paraId="4268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71EA3F7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Network layout</w:t>
            </w:r>
          </w:p>
        </w:tc>
        <w:tc>
          <w:tcPr>
            <w:tcW w:w="2490" w:type="dxa"/>
            <w:vAlign w:val="top"/>
          </w:tcPr>
          <w:p w14:paraId="1A4AAB5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UMA,</w:t>
            </w:r>
          </w:p>
          <w:p w14:paraId="28F167F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vertAlign w:val="baseline"/>
                <w:lang w:val="en-US" w:eastAsia="zh-CN"/>
              </w:rPr>
            </w:pPr>
            <w:r>
              <w:rPr>
                <w:rFonts w:hint="eastAsia"/>
                <w:b w:val="0"/>
                <w:bCs w:val="0"/>
                <w:vertAlign w:val="baseline"/>
                <w:lang w:val="en-US" w:eastAsia="zh-CN"/>
              </w:rPr>
              <w:t>Dense Urban,</w:t>
            </w:r>
          </w:p>
          <w:p w14:paraId="2246A8F5">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Indoor</w:t>
            </w:r>
          </w:p>
        </w:tc>
        <w:tc>
          <w:tcPr>
            <w:tcW w:w="2491" w:type="dxa"/>
            <w:vAlign w:val="top"/>
          </w:tcPr>
          <w:p w14:paraId="23CB7A12">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1A935EF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34A56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277E047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Propagation model</w:t>
            </w:r>
          </w:p>
        </w:tc>
        <w:tc>
          <w:tcPr>
            <w:tcW w:w="2490" w:type="dxa"/>
            <w:vAlign w:val="top"/>
          </w:tcPr>
          <w:p w14:paraId="433A6C5C">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38.901</w:t>
            </w:r>
          </w:p>
        </w:tc>
        <w:tc>
          <w:tcPr>
            <w:tcW w:w="2491" w:type="dxa"/>
            <w:vAlign w:val="top"/>
          </w:tcPr>
          <w:p w14:paraId="2ACEF02D">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303D8C8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0DFDB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09A4D70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Antenna configuration</w:t>
            </w:r>
          </w:p>
        </w:tc>
        <w:tc>
          <w:tcPr>
            <w:tcW w:w="2490" w:type="dxa"/>
            <w:vAlign w:val="top"/>
          </w:tcPr>
          <w:p w14:paraId="17FE138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default"/>
                <w:b w:val="0"/>
                <w:bCs w:val="0"/>
                <w:highlight w:val="none"/>
                <w:lang w:val="en-US" w:eastAsia="zh-CN"/>
              </w:rPr>
              <w:t>Around 30 GHz: Up to 4096 Tx and Rx antenna elements</w:t>
            </w:r>
          </w:p>
        </w:tc>
        <w:tc>
          <w:tcPr>
            <w:tcW w:w="2491" w:type="dxa"/>
            <w:vAlign w:val="top"/>
          </w:tcPr>
          <w:p w14:paraId="1C6A8EB8">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529623E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5D256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63012B2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Transmission power control</w:t>
            </w:r>
          </w:p>
        </w:tc>
        <w:tc>
          <w:tcPr>
            <w:tcW w:w="2490" w:type="dxa"/>
            <w:vAlign w:val="top"/>
          </w:tcPr>
          <w:p w14:paraId="51A59763">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38.803</w:t>
            </w:r>
          </w:p>
        </w:tc>
        <w:tc>
          <w:tcPr>
            <w:tcW w:w="2491" w:type="dxa"/>
            <w:vAlign w:val="top"/>
          </w:tcPr>
          <w:p w14:paraId="08934667">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14330FE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23BA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3AB5609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ACLR/ACS modelling</w:t>
            </w:r>
          </w:p>
        </w:tc>
        <w:tc>
          <w:tcPr>
            <w:tcW w:w="2490" w:type="dxa"/>
            <w:shd w:val="clear" w:color="auto" w:fill="auto"/>
            <w:vAlign w:val="top"/>
          </w:tcPr>
          <w:p w14:paraId="7ECC6E5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r>
              <w:rPr>
                <w:rFonts w:hint="eastAsia"/>
                <w:b w:val="0"/>
                <w:bCs w:val="0"/>
                <w:vertAlign w:val="baseline"/>
                <w:lang w:val="en-US" w:eastAsia="zh-CN"/>
              </w:rPr>
              <w:t>Depends ACLR modelling</w:t>
            </w:r>
          </w:p>
        </w:tc>
        <w:tc>
          <w:tcPr>
            <w:tcW w:w="2491" w:type="dxa"/>
            <w:shd w:val="clear" w:color="auto" w:fill="auto"/>
            <w:vAlign w:val="top"/>
          </w:tcPr>
          <w:p w14:paraId="4C3F4B38">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ascii="Times New Roman" w:hAnsi="Times New Roman" w:eastAsia="宋体" w:cs="Times New Roman"/>
                <w:b w:val="0"/>
                <w:bCs w:val="0"/>
                <w:kern w:val="2"/>
                <w:sz w:val="21"/>
                <w:szCs w:val="22"/>
                <w:vertAlign w:val="baseline"/>
                <w:lang w:val="en-US" w:eastAsia="zh-CN" w:bidi="ar-SA"/>
              </w:rPr>
            </w:pPr>
          </w:p>
        </w:tc>
        <w:tc>
          <w:tcPr>
            <w:tcW w:w="2491" w:type="dxa"/>
          </w:tcPr>
          <w:p w14:paraId="3C0EA21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4899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1888E39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Link level performance for 6GR coexistence study</w:t>
            </w:r>
          </w:p>
        </w:tc>
        <w:tc>
          <w:tcPr>
            <w:tcW w:w="2490" w:type="dxa"/>
            <w:vAlign w:val="top"/>
          </w:tcPr>
          <w:p w14:paraId="43CAA83B">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743BF61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5CC75CE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r w14:paraId="39CC9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14:paraId="47A6399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r>
              <w:rPr>
                <w:rFonts w:hint="eastAsia"/>
                <w:b w:val="0"/>
                <w:bCs w:val="0"/>
                <w:vertAlign w:val="baseline"/>
                <w:lang w:val="en-US" w:eastAsia="zh-CN"/>
              </w:rPr>
              <w:t>Coexistence simulation methodology</w:t>
            </w:r>
          </w:p>
        </w:tc>
        <w:tc>
          <w:tcPr>
            <w:tcW w:w="2490" w:type="dxa"/>
            <w:vAlign w:val="top"/>
          </w:tcPr>
          <w:p w14:paraId="1455A572">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r>
              <w:rPr>
                <w:rFonts w:hint="eastAsia"/>
                <w:b w:val="0"/>
                <w:bCs w:val="0"/>
                <w:vertAlign w:val="baseline"/>
                <w:lang w:val="en-US" w:eastAsia="zh-CN"/>
              </w:rPr>
              <w:t>Refer to 38.922</w:t>
            </w:r>
          </w:p>
        </w:tc>
        <w:tc>
          <w:tcPr>
            <w:tcW w:w="2491" w:type="dxa"/>
            <w:vAlign w:val="top"/>
          </w:tcPr>
          <w:p w14:paraId="7659585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default"/>
                <w:b w:val="0"/>
                <w:bCs w:val="0"/>
                <w:vertAlign w:val="baseline"/>
                <w:lang w:val="en-US" w:eastAsia="zh-CN"/>
              </w:rPr>
            </w:pPr>
          </w:p>
        </w:tc>
        <w:tc>
          <w:tcPr>
            <w:tcW w:w="2491" w:type="dxa"/>
          </w:tcPr>
          <w:p w14:paraId="6CD0654C">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vertAlign w:val="baseline"/>
                <w:lang w:val="en-US" w:eastAsia="zh-CN"/>
              </w:rPr>
            </w:pPr>
          </w:p>
        </w:tc>
      </w:tr>
    </w:tbl>
    <w:p w14:paraId="4F5867B4">
      <w:pPr>
        <w:pStyle w:val="58"/>
        <w:tabs>
          <w:tab w:val="left" w:pos="567"/>
          <w:tab w:val="clear" w:pos="1985"/>
        </w:tabs>
        <w:adjustRightInd w:val="0"/>
        <w:ind w:left="510" w:hanging="510"/>
      </w:pPr>
      <w:r>
        <w:t>References</w:t>
      </w:r>
    </w:p>
    <w:p w14:paraId="150F96DB">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4066E63E">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4A684579">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2FADA241">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026F4ECA">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0D054D45">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7BFE1DC0">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0AC93C8F">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7FE3CDCE">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7"/>
  </w:num>
  <w:num w:numId="2">
    <w:abstractNumId w:val="9"/>
  </w:num>
  <w:num w:numId="3">
    <w:abstractNumId w:val="8"/>
  </w:num>
  <w:num w:numId="4">
    <w:abstractNumId w:val="6"/>
  </w:num>
  <w:num w:numId="5">
    <w:abstractNumId w:val="2"/>
  </w:num>
  <w:num w:numId="6">
    <w:abstractNumId w:val="4"/>
  </w:num>
  <w:num w:numId="7">
    <w:abstractNumId w:val="5"/>
  </w:num>
  <w:num w:numId="8">
    <w:abstractNumId w:val="1"/>
  </w:num>
  <w:num w:numId="9">
    <w:abstractNumId w:val="10"/>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F0723"/>
    <w:rsid w:val="1357258A"/>
    <w:rsid w:val="13573133"/>
    <w:rsid w:val="135845C3"/>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B08A6"/>
    <w:rsid w:val="141D437D"/>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32BB5"/>
    <w:rsid w:val="15E73FF8"/>
    <w:rsid w:val="15F5110D"/>
    <w:rsid w:val="15F53F0F"/>
    <w:rsid w:val="15F5735F"/>
    <w:rsid w:val="15FA64BF"/>
    <w:rsid w:val="160A3803"/>
    <w:rsid w:val="160B5ABA"/>
    <w:rsid w:val="160C437B"/>
    <w:rsid w:val="161033BE"/>
    <w:rsid w:val="16147F08"/>
    <w:rsid w:val="161533B2"/>
    <w:rsid w:val="16160429"/>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863CA"/>
    <w:rsid w:val="26C9404D"/>
    <w:rsid w:val="26CC0194"/>
    <w:rsid w:val="26CD53A8"/>
    <w:rsid w:val="26D02567"/>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D30C3C"/>
    <w:rsid w:val="27D747BE"/>
    <w:rsid w:val="27DF1D24"/>
    <w:rsid w:val="27E30D7E"/>
    <w:rsid w:val="27E43C95"/>
    <w:rsid w:val="27E60CAF"/>
    <w:rsid w:val="27EC6404"/>
    <w:rsid w:val="27F07B94"/>
    <w:rsid w:val="27F20EFC"/>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3044C"/>
    <w:rsid w:val="28754C0A"/>
    <w:rsid w:val="28765DD5"/>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82697"/>
    <w:rsid w:val="2C987164"/>
    <w:rsid w:val="2C9A28D3"/>
    <w:rsid w:val="2C9F1C78"/>
    <w:rsid w:val="2CA34EDF"/>
    <w:rsid w:val="2CAA26C8"/>
    <w:rsid w:val="2CBC4209"/>
    <w:rsid w:val="2CC12D54"/>
    <w:rsid w:val="2CC9742A"/>
    <w:rsid w:val="2CCB1415"/>
    <w:rsid w:val="2CCB3003"/>
    <w:rsid w:val="2CD17849"/>
    <w:rsid w:val="2CD27B2F"/>
    <w:rsid w:val="2CD47078"/>
    <w:rsid w:val="2CDA4FDA"/>
    <w:rsid w:val="2CDC7091"/>
    <w:rsid w:val="2CE128DC"/>
    <w:rsid w:val="2CE16D71"/>
    <w:rsid w:val="2CE27F26"/>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941A6"/>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60A3"/>
    <w:rsid w:val="2F083808"/>
    <w:rsid w:val="2F1228D8"/>
    <w:rsid w:val="2F18561C"/>
    <w:rsid w:val="2F1A491A"/>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52E77"/>
    <w:rsid w:val="3079550C"/>
    <w:rsid w:val="308018A6"/>
    <w:rsid w:val="30804E19"/>
    <w:rsid w:val="30896BCA"/>
    <w:rsid w:val="3090288F"/>
    <w:rsid w:val="309219BB"/>
    <w:rsid w:val="30921E98"/>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E79F2"/>
    <w:rsid w:val="31C363A1"/>
    <w:rsid w:val="31CA5CF8"/>
    <w:rsid w:val="31CB26CD"/>
    <w:rsid w:val="31CF2CD1"/>
    <w:rsid w:val="31CF4AB1"/>
    <w:rsid w:val="31D06A52"/>
    <w:rsid w:val="31D216CC"/>
    <w:rsid w:val="31D40319"/>
    <w:rsid w:val="31DB5204"/>
    <w:rsid w:val="31E302B9"/>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908B6"/>
    <w:rsid w:val="3B2D161A"/>
    <w:rsid w:val="3B2F1534"/>
    <w:rsid w:val="3B3A132E"/>
    <w:rsid w:val="3B456D7F"/>
    <w:rsid w:val="3B4A51A8"/>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C06F9B"/>
    <w:rsid w:val="41C20F3F"/>
    <w:rsid w:val="41CF504E"/>
    <w:rsid w:val="41D1580B"/>
    <w:rsid w:val="41D57639"/>
    <w:rsid w:val="41DA54D8"/>
    <w:rsid w:val="41DC5EDF"/>
    <w:rsid w:val="41DD05DE"/>
    <w:rsid w:val="41E4117E"/>
    <w:rsid w:val="41E41803"/>
    <w:rsid w:val="41E52CA5"/>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E03B8F"/>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5046F"/>
    <w:rsid w:val="48396E71"/>
    <w:rsid w:val="483A4006"/>
    <w:rsid w:val="483B5BCA"/>
    <w:rsid w:val="483C2A8C"/>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A176A"/>
    <w:rsid w:val="4A5370A6"/>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D1400"/>
    <w:rsid w:val="4F1D1653"/>
    <w:rsid w:val="4F2064F4"/>
    <w:rsid w:val="4F2935FA"/>
    <w:rsid w:val="4F2C365D"/>
    <w:rsid w:val="4F311488"/>
    <w:rsid w:val="4F36758C"/>
    <w:rsid w:val="4F376D93"/>
    <w:rsid w:val="4F3957DF"/>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F0A29"/>
    <w:rsid w:val="514F1F93"/>
    <w:rsid w:val="515361F4"/>
    <w:rsid w:val="515529BB"/>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656F"/>
    <w:rsid w:val="521C5D43"/>
    <w:rsid w:val="521D1F17"/>
    <w:rsid w:val="521D7ED7"/>
    <w:rsid w:val="5221680B"/>
    <w:rsid w:val="52216835"/>
    <w:rsid w:val="52233879"/>
    <w:rsid w:val="52257DA4"/>
    <w:rsid w:val="52325EE7"/>
    <w:rsid w:val="5239194F"/>
    <w:rsid w:val="523E560F"/>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727620"/>
    <w:rsid w:val="66763EED"/>
    <w:rsid w:val="66782A0E"/>
    <w:rsid w:val="667930F9"/>
    <w:rsid w:val="6679372B"/>
    <w:rsid w:val="667B3C56"/>
    <w:rsid w:val="66822EA8"/>
    <w:rsid w:val="668B6CBD"/>
    <w:rsid w:val="66953491"/>
    <w:rsid w:val="66980BF6"/>
    <w:rsid w:val="66983372"/>
    <w:rsid w:val="669C52CA"/>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C2657"/>
    <w:rsid w:val="6C06150E"/>
    <w:rsid w:val="6C1407B4"/>
    <w:rsid w:val="6C150C0B"/>
    <w:rsid w:val="6C155F31"/>
    <w:rsid w:val="6C206E21"/>
    <w:rsid w:val="6C263A06"/>
    <w:rsid w:val="6C265F77"/>
    <w:rsid w:val="6C3A624E"/>
    <w:rsid w:val="6C3F4795"/>
    <w:rsid w:val="6C431738"/>
    <w:rsid w:val="6C442E2D"/>
    <w:rsid w:val="6C4B106D"/>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D5088"/>
    <w:rsid w:val="6F967ACA"/>
    <w:rsid w:val="6F9A4660"/>
    <w:rsid w:val="6F9C5D71"/>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3736"/>
    <w:rsid w:val="70494AF1"/>
    <w:rsid w:val="704A6916"/>
    <w:rsid w:val="7054528E"/>
    <w:rsid w:val="70555B90"/>
    <w:rsid w:val="705C5D99"/>
    <w:rsid w:val="705E76BE"/>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81125"/>
    <w:rsid w:val="7D7A555A"/>
    <w:rsid w:val="7D7F5298"/>
    <w:rsid w:val="7D8362BA"/>
    <w:rsid w:val="7D8835D1"/>
    <w:rsid w:val="7D885FC9"/>
    <w:rsid w:val="7D893A8E"/>
    <w:rsid w:val="7D8B7B1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D10FC1"/>
    <w:rsid w:val="7FD277AE"/>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emf"/><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26</Pages>
  <Words>614</Words>
  <Characters>3077</Characters>
  <Lines>82</Lines>
  <Paragraphs>23</Paragraphs>
  <TotalTime>0</TotalTime>
  <ScaleCrop>false</ScaleCrop>
  <LinksUpToDate>false</LinksUpToDate>
  <CharactersWithSpaces>3688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2025-09-29T14:31:07Z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